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Directions: </w:t>
      </w:r>
      <w:r w:rsidDel="00000000" w:rsidR="00000000" w:rsidRPr="00000000">
        <w:rPr>
          <w:rtl w:val="0"/>
        </w:rPr>
        <w:t xml:space="preserve">Using the information from the Key Court Cases Slides, take notes about each case and answer the question at the bottom.</w:t>
      </w: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Ind w:w="-8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0"/>
        <w:gridCol w:w="5520"/>
        <w:tblGridChange w:id="0">
          <w:tblGrid>
            <w:gridCol w:w="5550"/>
            <w:gridCol w:w="5520"/>
          </w:tblGrid>
        </w:tblGridChange>
      </w:tblGrid>
      <w:tr>
        <w:trPr>
          <w:cantSplit w:val="0"/>
          <w:trHeight w:val="3547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Hirabayashi v. U.S.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Yasui v. U.S.</w:t>
            </w:r>
          </w:p>
        </w:tc>
      </w:tr>
      <w:tr>
        <w:trPr>
          <w:cantSplit w:val="0"/>
          <w:trHeight w:val="3547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Korematsu v. U.S.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Ex Parte Endo</w:t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1085.0" w:type="dxa"/>
        <w:jc w:val="left"/>
        <w:tblInd w:w="-8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85"/>
        <w:tblGridChange w:id="0">
          <w:tblGrid>
            <w:gridCol w:w="110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Given the judicial test for which Justice Murphy advocates in his dissenting opinion, how might this test's consideration in the other cases potentially yield different results?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jc w:val="center"/>
      <w:rPr>
        <w:sz w:val="30"/>
        <w:szCs w:val="30"/>
      </w:rPr>
    </w:pPr>
    <w:r w:rsidDel="00000000" w:rsidR="00000000" w:rsidRPr="00000000">
      <w:rPr>
        <w:sz w:val="30"/>
        <w:szCs w:val="30"/>
        <w:rtl w:val="0"/>
      </w:rPr>
      <w:t xml:space="preserve">Supreme Court Cases Analysis Worksheet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