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1c2f4f"/>
                <w:sz w:val="24"/>
                <w:szCs w:val="24"/>
                <w:rtl w:val="0"/>
              </w:rPr>
              <w:t xml:space="preserve"> </w:t>
            </w: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48"/>
                <w:szCs w:val="48"/>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Children</w:t>
            </w:r>
            <w:r w:rsidDel="00000000" w:rsidR="00000000" w:rsidRPr="00000000">
              <w:rPr>
                <w:rFonts w:ascii="Helvetica Neue" w:cs="Helvetica Neue" w:eastAsia="Helvetica Neue" w:hAnsi="Helvetica Neue"/>
                <w:b w:val="1"/>
                <w:color w:val="ed232d"/>
                <w:sz w:val="32"/>
                <w:szCs w:val="32"/>
                <w:rtl w:val="0"/>
              </w:rPr>
              <w:t xml:space="preserve">: The Declaration’s 140th Birthday in 1916</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1897028673"/>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5</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76201</wp:posOffset>
            </wp:positionH>
            <wp:positionV relativeFrom="paragraph">
              <wp:posOffset>2219065</wp:posOffset>
            </wp:positionV>
            <wp:extent cx="3787841" cy="836482"/>
            <wp:effectExtent b="0" l="0" r="0" t="0"/>
            <wp:wrapSquare wrapText="bothSides" distB="114300" distT="114300" distL="114300" distR="114300"/>
            <wp:docPr id="1"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787841" cy="83648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3943350</wp:posOffset>
            </wp:positionH>
            <wp:positionV relativeFrom="paragraph">
              <wp:posOffset>2185988</wp:posOffset>
            </wp:positionV>
            <wp:extent cx="3034289" cy="903157"/>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034289" cy="903157"/>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140th year. The focus will be on the promises outlined in the Declaration and their connection to child laborers during the Second Industrial Revolution.</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America’s youth in its 140th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4"/>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4"/>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4"/>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4"/>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6"/>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0">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“History of Child Labor in the U.S.” Video (external link)</w:t>
            </w:r>
          </w:p>
          <w:p w:rsidR="00000000" w:rsidDel="00000000" w:rsidP="00000000" w:rsidRDefault="00000000" w:rsidRPr="00000000" w14:paraId="00000021">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National Archives “Analyzing a Photograph” Worksheet </w:t>
            </w:r>
            <w:r w:rsidDel="00000000" w:rsidR="00000000" w:rsidRPr="00000000">
              <w:rPr>
                <w:rtl w:val="0"/>
              </w:rPr>
            </w:r>
          </w:p>
          <w:p w:rsidR="00000000" w:rsidDel="00000000" w:rsidP="00000000" w:rsidRDefault="00000000" w:rsidRPr="00000000" w14:paraId="00000022">
            <w:pPr>
              <w:numPr>
                <w:ilvl w:val="0"/>
                <w:numId w:val="6"/>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Images of Child Labor</w:t>
            </w:r>
          </w:p>
          <w:p w:rsidR="00000000" w:rsidDel="00000000" w:rsidP="00000000" w:rsidRDefault="00000000" w:rsidRPr="00000000" w14:paraId="00000023">
            <w:pPr>
              <w:numPr>
                <w:ilvl w:val="0"/>
                <w:numId w:val="6"/>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w:t>
            </w:r>
          </w:p>
        </w:tc>
      </w:tr>
    </w:tbl>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6">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9">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A">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B">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C">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D">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2E">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2F">
      <w:pPr>
        <w:numPr>
          <w:ilvl w:val="0"/>
          <w:numId w:val="5"/>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0">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1">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w:t>
      </w:r>
      <w:r w:rsidDel="00000000" w:rsidR="00000000" w:rsidRPr="00000000">
        <w:rPr>
          <w:rFonts w:ascii="Helvetica Neue" w:cs="Helvetica Neue" w:eastAsia="Helvetica Neue" w:hAnsi="Helvetica Neue"/>
          <w:b w:val="1"/>
          <w:sz w:val="24"/>
          <w:szCs w:val="24"/>
          <w:rtl w:val="0"/>
        </w:rPr>
        <w:t xml:space="preserve">Connecting the Promises to Children</w:t>
      </w:r>
    </w:p>
    <w:p w:rsidR="00000000" w:rsidDel="00000000" w:rsidP="00000000" w:rsidRDefault="00000000" w:rsidRPr="00000000" w14:paraId="00000032">
      <w:pPr>
        <w:numPr>
          <w:ilvl w:val="0"/>
          <w:numId w:val="3"/>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33">
      <w:pPr>
        <w:spacing w:after="20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Declaration of Independence promises the unalienable rights to “life, liberty, and the pursuit of happiness.” Prior government decision-making has focused on its obligations to protect children’s interests and whether those obligations justify denying children opportunities that they would have if they were adults.   </w:t>
      </w:r>
    </w:p>
    <w:p w:rsidR="00000000" w:rsidDel="00000000" w:rsidP="00000000" w:rsidRDefault="00000000" w:rsidRPr="00000000" w14:paraId="00000034">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Two key examples are related to education and labor laws. Safety concerns and other obligations, such as attending school, have shaped children’s freedom to work and ‘</w:t>
      </w:r>
      <w:r w:rsidDel="00000000" w:rsidR="00000000" w:rsidRPr="00000000">
        <w:rPr>
          <w:rFonts w:ascii="Helvetica Neue" w:cs="Helvetica Neue" w:eastAsia="Helvetica Neue" w:hAnsi="Helvetica Neue"/>
          <w:sz w:val="24"/>
          <w:szCs w:val="24"/>
          <w:rtl w:val="0"/>
        </w:rPr>
        <w:t xml:space="preserve">pursue happiness.</w:t>
      </w:r>
      <w:r w:rsidDel="00000000" w:rsidR="00000000" w:rsidRPr="00000000">
        <w:rPr>
          <w:rFonts w:ascii="Helvetica Neue" w:cs="Helvetica Neue" w:eastAsia="Helvetica Neue" w:hAnsi="Helvetica Neue"/>
          <w:sz w:val="24"/>
          <w:szCs w:val="24"/>
          <w:rtl w:val="0"/>
        </w:rPr>
        <w:t xml:space="preserve">’  Enacted in 1938, the Fair Labor Standards Act (FLSA) includes protections for minors. This law stated that children under the age of 14 cannot work in non-agricultural jobs, and limited daily and weekly work hours and working conditions for children under the age of 18. The FLSA allowed more flexibility for children to work in agricultural jobs compared with non-agricultural jobs. And education laws have focused on children’s school attendance and the rights that students have (or don’t have) in the school environment. The United States Supreme Court has also shaped children’s experience in their school environment.  </w:t>
      </w:r>
    </w:p>
    <w:p w:rsidR="00000000" w:rsidDel="00000000" w:rsidP="00000000" w:rsidRDefault="00000000" w:rsidRPr="00000000" w14:paraId="00000035">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Examples include:</w:t>
      </w:r>
    </w:p>
    <w:p w:rsidR="00000000" w:rsidDel="00000000" w:rsidP="00000000" w:rsidRDefault="00000000" w:rsidRPr="00000000" w14:paraId="00000036">
      <w:pPr>
        <w:spacing w:after="160" w:line="240" w:lineRule="auto"/>
        <w:ind w:left="144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i w:val="1"/>
          <w:sz w:val="24"/>
          <w:szCs w:val="24"/>
          <w:rtl w:val="0"/>
        </w:rPr>
        <w:t xml:space="preserve">Engel v. Vitale</w:t>
      </w:r>
      <w:r w:rsidDel="00000000" w:rsidR="00000000" w:rsidRPr="00000000">
        <w:rPr>
          <w:rFonts w:ascii="Helvetica Neue" w:cs="Helvetica Neue" w:eastAsia="Helvetica Neue" w:hAnsi="Helvetica Neue"/>
          <w:sz w:val="24"/>
          <w:szCs w:val="24"/>
          <w:rtl w:val="0"/>
        </w:rPr>
        <w:t xml:space="preserve"> (1962):  Students cannot be compelled to recite a school-designated prayer in school (</w:t>
      </w:r>
      <w:r w:rsidDel="00000000" w:rsidR="00000000" w:rsidRPr="00000000">
        <w:rPr>
          <w:rFonts w:ascii="Helvetica Neue" w:cs="Helvetica Neue" w:eastAsia="Helvetica Neue" w:hAnsi="Helvetica Neue"/>
          <w:i w:val="1"/>
          <w:sz w:val="24"/>
          <w:szCs w:val="24"/>
          <w:rtl w:val="0"/>
        </w:rPr>
        <w:t xml:space="preserve">liberty</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37">
      <w:pPr>
        <w:spacing w:after="160" w:line="240" w:lineRule="auto"/>
        <w:ind w:left="144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i w:val="1"/>
          <w:sz w:val="24"/>
          <w:szCs w:val="24"/>
          <w:rtl w:val="0"/>
        </w:rPr>
        <w:t xml:space="preserve">New Jersey v. T.L.O.</w:t>
      </w:r>
      <w:r w:rsidDel="00000000" w:rsidR="00000000" w:rsidRPr="00000000">
        <w:rPr>
          <w:rFonts w:ascii="Helvetica Neue" w:cs="Helvetica Neue" w:eastAsia="Helvetica Neue" w:hAnsi="Helvetica Neue"/>
          <w:sz w:val="24"/>
          <w:szCs w:val="24"/>
          <w:rtl w:val="0"/>
        </w:rPr>
        <w:t xml:space="preserve"> (1985):  Students’ privacy rights are protected unless a school security concern justifies a search of student property (</w:t>
      </w:r>
      <w:r w:rsidDel="00000000" w:rsidR="00000000" w:rsidRPr="00000000">
        <w:rPr>
          <w:rFonts w:ascii="Helvetica Neue" w:cs="Helvetica Neue" w:eastAsia="Helvetica Neue" w:hAnsi="Helvetica Neue"/>
          <w:i w:val="1"/>
          <w:sz w:val="24"/>
          <w:szCs w:val="24"/>
          <w:rtl w:val="0"/>
        </w:rPr>
        <w:t xml:space="preserve">pursuit of happiness</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38">
      <w:pPr>
        <w:spacing w:after="160" w:line="240" w:lineRule="auto"/>
        <w:ind w:left="144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i w:val="1"/>
          <w:sz w:val="24"/>
          <w:szCs w:val="24"/>
          <w:rtl w:val="0"/>
        </w:rPr>
        <w:t xml:space="preserve">Tinker v. Des Moines Independent Community School District</w:t>
      </w:r>
      <w:r w:rsidDel="00000000" w:rsidR="00000000" w:rsidRPr="00000000">
        <w:rPr>
          <w:rFonts w:ascii="Helvetica Neue" w:cs="Helvetica Neue" w:eastAsia="Helvetica Neue" w:hAnsi="Helvetica Neue"/>
          <w:sz w:val="24"/>
          <w:szCs w:val="24"/>
          <w:rtl w:val="0"/>
        </w:rPr>
        <w:t xml:space="preserve"> (1969):  Students may participate in non-disruptive protest in the school environment (</w:t>
      </w:r>
      <w:r w:rsidDel="00000000" w:rsidR="00000000" w:rsidRPr="00000000">
        <w:rPr>
          <w:rFonts w:ascii="Helvetica Neue" w:cs="Helvetica Neue" w:eastAsia="Helvetica Neue" w:hAnsi="Helvetica Neue"/>
          <w:i w:val="1"/>
          <w:sz w:val="24"/>
          <w:szCs w:val="24"/>
          <w:rtl w:val="0"/>
        </w:rPr>
        <w:t xml:space="preserve">liberty</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p w:rsidR="00000000" w:rsidDel="00000000" w:rsidP="00000000" w:rsidRDefault="00000000" w:rsidRPr="00000000" w14:paraId="00000039">
      <w:pPr>
        <w:spacing w:after="160" w:line="240" w:lineRule="auto"/>
        <w:ind w:left="144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i w:val="1"/>
          <w:sz w:val="24"/>
          <w:szCs w:val="24"/>
          <w:rtl w:val="0"/>
        </w:rPr>
        <w:t xml:space="preserve">Wisconsin v. Yoder</w:t>
      </w:r>
      <w:r w:rsidDel="00000000" w:rsidR="00000000" w:rsidRPr="00000000">
        <w:rPr>
          <w:rFonts w:ascii="Helvetica Neue" w:cs="Helvetica Neue" w:eastAsia="Helvetica Neue" w:hAnsi="Helvetica Neue"/>
          <w:sz w:val="24"/>
          <w:szCs w:val="24"/>
          <w:rtl w:val="0"/>
        </w:rPr>
        <w:t xml:space="preserve"> (1971):  Children need not attend school past the 8</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grade if their parents determine that their children should receive an alternate high school education that better reflects religious teachings (</w:t>
      </w:r>
      <w:r w:rsidDel="00000000" w:rsidR="00000000" w:rsidRPr="00000000">
        <w:rPr>
          <w:rFonts w:ascii="Helvetica Neue" w:cs="Helvetica Neue" w:eastAsia="Helvetica Neue" w:hAnsi="Helvetica Neue"/>
          <w:i w:val="1"/>
          <w:sz w:val="24"/>
          <w:szCs w:val="24"/>
          <w:rtl w:val="0"/>
        </w:rPr>
        <w:t xml:space="preserve">liberty, pursuit of happiness</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3A">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Protecting children’s unalienable rights has also focused on criminal prosecution and punishment. Questions have arisen as to whether children should be treated the same as adults, including whether children should receive the same punishments as adults for committing the same crimes.  </w:t>
      </w:r>
    </w:p>
    <w:p w:rsidR="00000000" w:rsidDel="00000000" w:rsidP="00000000" w:rsidRDefault="00000000" w:rsidRPr="00000000" w14:paraId="0000003B">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An example: </w:t>
      </w:r>
    </w:p>
    <w:p w:rsidR="00000000" w:rsidDel="00000000" w:rsidP="00000000" w:rsidRDefault="00000000" w:rsidRPr="00000000" w14:paraId="0000003C">
      <w:pPr>
        <w:spacing w:after="160" w:line="240" w:lineRule="auto"/>
        <w:ind w:left="144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In </w:t>
      </w:r>
      <w:r w:rsidDel="00000000" w:rsidR="00000000" w:rsidRPr="00000000">
        <w:rPr>
          <w:rFonts w:ascii="Helvetica Neue" w:cs="Helvetica Neue" w:eastAsia="Helvetica Neue" w:hAnsi="Helvetica Neue"/>
          <w:i w:val="1"/>
          <w:sz w:val="24"/>
          <w:szCs w:val="24"/>
          <w:rtl w:val="0"/>
        </w:rPr>
        <w:t xml:space="preserve">Roper v. Simmons</w:t>
      </w:r>
      <w:r w:rsidDel="00000000" w:rsidR="00000000" w:rsidRPr="00000000">
        <w:rPr>
          <w:rFonts w:ascii="Helvetica Neue" w:cs="Helvetica Neue" w:eastAsia="Helvetica Neue" w:hAnsi="Helvetica Neue"/>
          <w:sz w:val="24"/>
          <w:szCs w:val="24"/>
          <w:rtl w:val="0"/>
        </w:rPr>
        <w:t xml:space="preserve"> (2005), the United States Supreme Court ruled that executing individuals who committed crimes before age 18 violates Eighth Amendment protections against cruel and unusual punishment (</w:t>
      </w:r>
      <w:r w:rsidDel="00000000" w:rsidR="00000000" w:rsidRPr="00000000">
        <w:rPr>
          <w:rFonts w:ascii="Helvetica Neue" w:cs="Helvetica Neue" w:eastAsia="Helvetica Neue" w:hAnsi="Helvetica Neue"/>
          <w:i w:val="1"/>
          <w:sz w:val="24"/>
          <w:szCs w:val="24"/>
          <w:rtl w:val="0"/>
        </w:rPr>
        <w:t xml:space="preserve">life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p w:rsidR="00000000" w:rsidDel="00000000" w:rsidP="00000000" w:rsidRDefault="00000000" w:rsidRPr="00000000" w14:paraId="0000003D">
      <w:pPr>
        <w:numPr>
          <w:ilvl w:val="0"/>
          <w:numId w:val="3"/>
        </w:numPr>
        <w:spacing w:after="16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3E">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Declaration of Independence asserts that “all men are created equal.” This assertion has shaped whether and how the government guarantees equality for children.  </w:t>
      </w:r>
    </w:p>
    <w:p w:rsidR="00000000" w:rsidDel="00000000" w:rsidP="00000000" w:rsidRDefault="00000000" w:rsidRPr="00000000" w14:paraId="0000003F">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Equal access to education for children was the focus of </w:t>
      </w:r>
      <w:r w:rsidDel="00000000" w:rsidR="00000000" w:rsidRPr="00000000">
        <w:rPr>
          <w:rFonts w:ascii="Helvetica Neue" w:cs="Helvetica Neue" w:eastAsia="Helvetica Neue" w:hAnsi="Helvetica Neue"/>
          <w:i w:val="1"/>
          <w:sz w:val="24"/>
          <w:szCs w:val="24"/>
          <w:rtl w:val="0"/>
        </w:rPr>
        <w:t xml:space="preserve">Brown v. Board of Education</w:t>
      </w:r>
      <w:r w:rsidDel="00000000" w:rsidR="00000000" w:rsidRPr="00000000">
        <w:rPr>
          <w:rFonts w:ascii="Helvetica Neue" w:cs="Helvetica Neue" w:eastAsia="Helvetica Neue" w:hAnsi="Helvetica Neue"/>
          <w:sz w:val="24"/>
          <w:szCs w:val="24"/>
          <w:rtl w:val="0"/>
        </w:rPr>
        <w:t xml:space="preserve"> (1954). In that case, the United States Supreme Court analyzed the Fourteenth Amendment's Equal Protection Clause, which states that no state shall “deny to any person within its jurisdiction the equal protection of the laws.” The United States Supreme Court determined that “separate but equal” educational facilities violated minority students’ equal protection. The Court decided that these children were being denied equal protection guarantees because they were required to attend school where they experienced inequality.  </w:t>
      </w:r>
    </w:p>
    <w:p w:rsidR="00000000" w:rsidDel="00000000" w:rsidP="00000000" w:rsidRDefault="00000000" w:rsidRPr="00000000" w14:paraId="00000040">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Promises of equality to children have also extended to political rights. It was not until 1971 that the United States Constitution guaranteed political equality to individuals aged 18-21; voting rights were extended to those aged 18-21 in all elections with the 26</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Amendment. Efforts to secure voting rights for these individuals were important because of the ongoing conflict in Vietnam. During the Vietnam War, men became eligible for the military draft at age 18. Lacking voting rights meant that these men had no say in choosing those public officials who decided the course of the Vietnam Conflict, which shaped decisions about issues that affected them, including the military draft.  </w:t>
      </w:r>
      <w:r w:rsidDel="00000000" w:rsidR="00000000" w:rsidRPr="00000000">
        <w:rPr>
          <w:rtl w:val="0"/>
        </w:rPr>
      </w:r>
    </w:p>
    <w:p w:rsidR="00000000" w:rsidDel="00000000" w:rsidP="00000000" w:rsidRDefault="00000000" w:rsidRPr="00000000" w14:paraId="00000041">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 Brief </w:t>
      </w:r>
      <w:r w:rsidDel="00000000" w:rsidR="00000000" w:rsidRPr="00000000">
        <w:rPr>
          <w:rFonts w:ascii="Helvetica Neue" w:cs="Helvetica Neue" w:eastAsia="Helvetica Neue" w:hAnsi="Helvetica Neue"/>
          <w:b w:val="1"/>
          <w:sz w:val="24"/>
          <w:szCs w:val="24"/>
          <w:rtl w:val="0"/>
        </w:rPr>
        <w:t xml:space="preserve">Timeline</w:t>
      </w:r>
      <w:r w:rsidDel="00000000" w:rsidR="00000000" w:rsidRPr="00000000">
        <w:rPr>
          <w:rFonts w:ascii="Helvetica Neue" w:cs="Helvetica Neue" w:eastAsia="Helvetica Neue" w:hAnsi="Helvetica Neue"/>
          <w:b w:val="1"/>
          <w:sz w:val="24"/>
          <w:szCs w:val="24"/>
          <w:rtl w:val="0"/>
        </w:rPr>
        <w:t xml:space="preserve"> of Child Labor Reform</w:t>
      </w:r>
    </w:p>
    <w:p w:rsidR="00000000" w:rsidDel="00000000" w:rsidP="00000000" w:rsidRDefault="00000000" w:rsidRPr="00000000" w14:paraId="00000042">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1836, </w:t>
      </w:r>
      <w:r w:rsidDel="00000000" w:rsidR="00000000" w:rsidRPr="00000000">
        <w:rPr>
          <w:rFonts w:ascii="Helvetica Neue" w:cs="Helvetica Neue" w:eastAsia="Helvetica Neue" w:hAnsi="Helvetica Neue"/>
          <w:sz w:val="24"/>
          <w:szCs w:val="24"/>
          <w:rtl w:val="0"/>
        </w:rPr>
        <w:t xml:space="preserve">Massachusetts created the first child labor law requiring factory-working children (aged 15 and under) to attend school for a minimum of three months a year.</w:t>
      </w:r>
    </w:p>
    <w:p w:rsidR="00000000" w:rsidDel="00000000" w:rsidP="00000000" w:rsidRDefault="00000000" w:rsidRPr="00000000" w14:paraId="00000043">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1900, </w:t>
      </w:r>
      <w:r w:rsidDel="00000000" w:rsidR="00000000" w:rsidRPr="00000000">
        <w:rPr>
          <w:rFonts w:ascii="Helvetica Neue" w:cs="Helvetica Neue" w:eastAsia="Helvetica Neue" w:hAnsi="Helvetica Neue"/>
          <w:sz w:val="24"/>
          <w:szCs w:val="24"/>
          <w:rtl w:val="0"/>
        </w:rPr>
        <w:t xml:space="preserve">the census revealed there were over two million child laborers in the United States.</w:t>
      </w:r>
    </w:p>
    <w:p w:rsidR="00000000" w:rsidDel="00000000" w:rsidP="00000000" w:rsidRDefault="00000000" w:rsidRPr="00000000" w14:paraId="00000044">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1901, </w:t>
      </w:r>
      <w:r w:rsidDel="00000000" w:rsidR="00000000" w:rsidRPr="00000000">
        <w:rPr>
          <w:rFonts w:ascii="Helvetica Neue" w:cs="Helvetica Neue" w:eastAsia="Helvetica Neue" w:hAnsi="Helvetica Neue"/>
          <w:sz w:val="24"/>
          <w:szCs w:val="24"/>
          <w:rtl w:val="0"/>
        </w:rPr>
        <w:t xml:space="preserve">Jane Addams founded the Juvenile Protective Association, which advocated against child labor (and many other</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issues regarding children’s rights).</w:t>
      </w:r>
    </w:p>
    <w:p w:rsidR="00000000" w:rsidDel="00000000" w:rsidP="00000000" w:rsidRDefault="00000000" w:rsidRPr="00000000" w14:paraId="00000045">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1903, </w:t>
      </w:r>
      <w:r w:rsidDel="00000000" w:rsidR="00000000" w:rsidRPr="00000000">
        <w:rPr>
          <w:rFonts w:ascii="Helvetica Neue" w:cs="Helvetica Neue" w:eastAsia="Helvetica Neue" w:hAnsi="Helvetica Neue"/>
          <w:sz w:val="24"/>
          <w:szCs w:val="24"/>
          <w:rtl w:val="0"/>
        </w:rPr>
        <w:t xml:space="preserve">Mother Jones (Mary Harris Jones) organized working children to march from Pennsylvania to President Theodore Roosevelt’s home in New York to advocate against child labor.</w:t>
      </w:r>
    </w:p>
    <w:p w:rsidR="00000000" w:rsidDel="00000000" w:rsidP="00000000" w:rsidRDefault="00000000" w:rsidRPr="00000000" w14:paraId="00000046">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In 1904, </w:t>
      </w:r>
      <w:r w:rsidDel="00000000" w:rsidR="00000000" w:rsidRPr="00000000">
        <w:rPr>
          <w:rFonts w:ascii="Helvetica Neue" w:cs="Helvetica Neue" w:eastAsia="Helvetica Neue" w:hAnsi="Helvetica Neue"/>
          <w:sz w:val="24"/>
          <w:szCs w:val="24"/>
          <w:rtl w:val="0"/>
        </w:rPr>
        <w:t xml:space="preserve">the National Child Labor Committee was founded.</w:t>
      </w:r>
      <w:r w:rsidDel="00000000" w:rsidR="00000000" w:rsidRPr="00000000">
        <w:rPr>
          <w:rtl w:val="0"/>
        </w:rPr>
      </w:r>
    </w:p>
    <w:p w:rsidR="00000000" w:rsidDel="00000000" w:rsidP="00000000" w:rsidRDefault="00000000" w:rsidRPr="00000000" w14:paraId="00000047">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1908, </w:t>
      </w:r>
      <w:r w:rsidDel="00000000" w:rsidR="00000000" w:rsidRPr="00000000">
        <w:rPr>
          <w:rFonts w:ascii="Helvetica Neue" w:cs="Helvetica Neue" w:eastAsia="Helvetica Neue" w:hAnsi="Helvetica Neue"/>
          <w:sz w:val="24"/>
          <w:szCs w:val="24"/>
          <w:rtl w:val="0"/>
        </w:rPr>
        <w:t xml:space="preserve">the National Child Labor Committee hired Lewis Hine to photograph and report on child labor nationwide.</w:t>
      </w:r>
    </w:p>
    <w:p w:rsidR="00000000" w:rsidDel="00000000" w:rsidP="00000000" w:rsidRDefault="00000000" w:rsidRPr="00000000" w14:paraId="00000048">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1916, </w:t>
      </w:r>
      <w:r w:rsidDel="00000000" w:rsidR="00000000" w:rsidRPr="00000000">
        <w:rPr>
          <w:rFonts w:ascii="Helvetica Neue" w:cs="Helvetica Neue" w:eastAsia="Helvetica Neue" w:hAnsi="Helvetica Neue"/>
          <w:sz w:val="24"/>
          <w:szCs w:val="24"/>
          <w:rtl w:val="0"/>
        </w:rPr>
        <w:t xml:space="preserve">the Keating-Owen Child Labor Act was passed by Congress. It banned the interstate sale of any article produced with child labor and regulated the hours a child could work.</w:t>
      </w:r>
    </w:p>
    <w:p w:rsidR="00000000" w:rsidDel="00000000" w:rsidP="00000000" w:rsidRDefault="00000000" w:rsidRPr="00000000" w14:paraId="00000049">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1918, </w:t>
      </w:r>
      <w:r w:rsidDel="00000000" w:rsidR="00000000" w:rsidRPr="00000000">
        <w:rPr>
          <w:rFonts w:ascii="Helvetica Neue" w:cs="Helvetica Neue" w:eastAsia="Helvetica Neue" w:hAnsi="Helvetica Neue"/>
          <w:sz w:val="24"/>
          <w:szCs w:val="24"/>
          <w:rtl w:val="0"/>
        </w:rPr>
        <w:t xml:space="preserve">the Supreme Court ruled that the Keating-Owen Act was unconstitutional in </w:t>
      </w:r>
      <w:r w:rsidDel="00000000" w:rsidR="00000000" w:rsidRPr="00000000">
        <w:rPr>
          <w:rFonts w:ascii="Helvetica Neue" w:cs="Helvetica Neue" w:eastAsia="Helvetica Neue" w:hAnsi="Helvetica Neue"/>
          <w:i w:val="1"/>
          <w:sz w:val="24"/>
          <w:szCs w:val="24"/>
          <w:rtl w:val="0"/>
        </w:rPr>
        <w:t xml:space="preserve">Hammer v. Dagenhart.</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4A">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1919, </w:t>
      </w:r>
      <w:r w:rsidDel="00000000" w:rsidR="00000000" w:rsidRPr="00000000">
        <w:rPr>
          <w:rFonts w:ascii="Helvetica Neue" w:cs="Helvetica Neue" w:eastAsia="Helvetica Neue" w:hAnsi="Helvetica Neue"/>
          <w:sz w:val="24"/>
          <w:szCs w:val="24"/>
          <w:rtl w:val="0"/>
        </w:rPr>
        <w:t xml:space="preserve">Congress tried again to regulate child labor indirectly in the Revenue Act of 1919, which imposed heavy taxes on companies with high numbers of child laborers.</w:t>
      </w:r>
    </w:p>
    <w:p w:rsidR="00000000" w:rsidDel="00000000" w:rsidP="00000000" w:rsidRDefault="00000000" w:rsidRPr="00000000" w14:paraId="0000004B">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1922, </w:t>
      </w:r>
      <w:r w:rsidDel="00000000" w:rsidR="00000000" w:rsidRPr="00000000">
        <w:rPr>
          <w:rFonts w:ascii="Helvetica Neue" w:cs="Helvetica Neue" w:eastAsia="Helvetica Neue" w:hAnsi="Helvetica Neue"/>
          <w:sz w:val="24"/>
          <w:szCs w:val="24"/>
          <w:rtl w:val="0"/>
        </w:rPr>
        <w:t xml:space="preserve">the Supreme Court ruled the Revenue Act of 1919 was unconstitutional in </w:t>
      </w:r>
      <w:r w:rsidDel="00000000" w:rsidR="00000000" w:rsidRPr="00000000">
        <w:rPr>
          <w:rFonts w:ascii="Helvetica Neue" w:cs="Helvetica Neue" w:eastAsia="Helvetica Neue" w:hAnsi="Helvetica Neue"/>
          <w:i w:val="1"/>
          <w:sz w:val="24"/>
          <w:szCs w:val="24"/>
          <w:rtl w:val="0"/>
        </w:rPr>
        <w:t xml:space="preserve">Bailey v. Drezel Furniture Co</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4C">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1938, </w:t>
      </w:r>
      <w:r w:rsidDel="00000000" w:rsidR="00000000" w:rsidRPr="00000000">
        <w:rPr>
          <w:rFonts w:ascii="Helvetica Neue" w:cs="Helvetica Neue" w:eastAsia="Helvetica Neue" w:hAnsi="Helvetica Neue"/>
          <w:sz w:val="24"/>
          <w:szCs w:val="24"/>
          <w:rtl w:val="0"/>
        </w:rPr>
        <w:t xml:space="preserve">Congress passed the Fair Labor Standards Act, which put limits on child labor. (This act, though amended, is still in use today.)</w:t>
      </w:r>
    </w:p>
    <w:p w:rsidR="00000000" w:rsidDel="00000000" w:rsidP="00000000" w:rsidRDefault="00000000" w:rsidRPr="00000000" w14:paraId="0000004D">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1949, </w:t>
      </w:r>
      <w:r w:rsidDel="00000000" w:rsidR="00000000" w:rsidRPr="00000000">
        <w:rPr>
          <w:rFonts w:ascii="Helvetica Neue" w:cs="Helvetica Neue" w:eastAsia="Helvetica Neue" w:hAnsi="Helvetica Neue"/>
          <w:sz w:val="24"/>
          <w:szCs w:val="24"/>
          <w:rtl w:val="0"/>
        </w:rPr>
        <w:t xml:space="preserve">an amendment to the Fair Labor Standards Act (FLSA) directly </w:t>
      </w:r>
      <w:r w:rsidDel="00000000" w:rsidR="00000000" w:rsidRPr="00000000">
        <w:rPr>
          <w:rFonts w:ascii="Helvetica Neue" w:cs="Helvetica Neue" w:eastAsia="Helvetica Neue" w:hAnsi="Helvetica Neue"/>
          <w:sz w:val="24"/>
          <w:szCs w:val="24"/>
          <w:rtl w:val="0"/>
        </w:rPr>
        <w:t xml:space="preserve">prohibited</w:t>
      </w:r>
      <w:r w:rsidDel="00000000" w:rsidR="00000000" w:rsidRPr="00000000">
        <w:rPr>
          <w:rFonts w:ascii="Helvetica Neue" w:cs="Helvetica Neue" w:eastAsia="Helvetica Neue" w:hAnsi="Helvetica Neue"/>
          <w:sz w:val="24"/>
          <w:szCs w:val="24"/>
          <w:rtl w:val="0"/>
        </w:rPr>
        <w:t xml:space="preserve"> child labor for the first time.</w:t>
      </w:r>
    </w:p>
    <w:p w:rsidR="00000000" w:rsidDel="00000000" w:rsidP="00000000" w:rsidRDefault="00000000" w:rsidRPr="00000000" w14:paraId="0000004E">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w:t>
      </w:r>
      <w:hyperlink r:id="rId13">
        <w:r w:rsidDel="00000000" w:rsidR="00000000" w:rsidRPr="00000000">
          <w:rPr>
            <w:rFonts w:ascii="Helvetica Neue" w:cs="Helvetica Neue" w:eastAsia="Helvetica Neue" w:hAnsi="Helvetica Neue"/>
            <w:color w:val="1155cc"/>
            <w:sz w:val="24"/>
            <w:szCs w:val="24"/>
            <w:u w:val="single"/>
            <w:rtl w:val="0"/>
          </w:rPr>
          <w:t xml:space="preserve">Current federal requirements</w:t>
        </w:r>
      </w:hyperlink>
      <w:r w:rsidDel="00000000" w:rsidR="00000000" w:rsidRPr="00000000">
        <w:rPr>
          <w:rFonts w:ascii="Helvetica Neue" w:cs="Helvetica Neue" w:eastAsia="Helvetica Neue" w:hAnsi="Helvetica Neue"/>
          <w:sz w:val="24"/>
          <w:szCs w:val="24"/>
          <w:rtl w:val="0"/>
        </w:rPr>
        <w:t xml:space="preserve"> under the FLSA Child Labor Bulletin 102: No employment during school hours. 12 and 13-year-olds may be employed with written parental consent or on a farm where the minor’s parent is also employed; minors under 12 may be employed with written parental consent on farms where employees are exempt from the federal minimum wage provisions.</w:t>
      </w:r>
    </w:p>
    <w:p w:rsidR="00000000" w:rsidDel="00000000" w:rsidP="00000000" w:rsidRDefault="00000000" w:rsidRPr="00000000" w14:paraId="0000004F">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4. Information about the Keating-Owen Child Labor Act</w:t>
      </w:r>
    </w:p>
    <w:p w:rsidR="00000000" w:rsidDel="00000000" w:rsidP="00000000" w:rsidRDefault="00000000" w:rsidRPr="00000000" w14:paraId="00000050">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For more information about the Keating-Owen Child Labor Act, consider visiting:</w:t>
      </w:r>
    </w:p>
    <w:p w:rsidR="00000000" w:rsidDel="00000000" w:rsidP="00000000" w:rsidRDefault="00000000" w:rsidRPr="00000000" w14:paraId="00000051">
      <w:pPr>
        <w:spacing w:after="200" w:line="240" w:lineRule="auto"/>
        <w:rPr>
          <w:rFonts w:ascii="Helvetica Neue" w:cs="Helvetica Neue" w:eastAsia="Helvetica Neue" w:hAnsi="Helvetica Neue"/>
          <w:sz w:val="24"/>
          <w:szCs w:val="24"/>
        </w:rPr>
      </w:pPr>
      <w:hyperlink r:id="rId14">
        <w:r w:rsidDel="00000000" w:rsidR="00000000" w:rsidRPr="00000000">
          <w:rPr>
            <w:rFonts w:ascii="Helvetica Neue" w:cs="Helvetica Neue" w:eastAsia="Helvetica Neue" w:hAnsi="Helvetica Neue"/>
            <w:color w:val="1155cc"/>
            <w:sz w:val="24"/>
            <w:szCs w:val="24"/>
            <w:u w:val="single"/>
            <w:rtl w:val="0"/>
          </w:rPr>
          <w:t xml:space="preserve">https://www.archives.gov/milestone-documents/keating-owen-child-labor-act?_ga=2.5015472.2080964657.1741714354-446224546.1736439800</w:t>
        </w:r>
      </w:hyperlink>
      <w:r w:rsidDel="00000000" w:rsidR="00000000" w:rsidRPr="00000000">
        <w:rPr>
          <w:rFonts w:ascii="Helvetica Neue" w:cs="Helvetica Neue" w:eastAsia="Helvetica Neue" w:hAnsi="Helvetica Neue"/>
          <w:sz w:val="24"/>
          <w:szCs w:val="24"/>
          <w:rtl w:val="0"/>
        </w:rPr>
        <w:t xml:space="preserve"> or </w:t>
      </w:r>
    </w:p>
    <w:p w:rsidR="00000000" w:rsidDel="00000000" w:rsidP="00000000" w:rsidRDefault="00000000" w:rsidRPr="00000000" w14:paraId="00000052">
      <w:pPr>
        <w:spacing w:after="200" w:line="240" w:lineRule="auto"/>
        <w:rPr>
          <w:rFonts w:ascii="Helvetica Neue" w:cs="Helvetica Neue" w:eastAsia="Helvetica Neue" w:hAnsi="Helvetica Neue"/>
          <w:sz w:val="24"/>
          <w:szCs w:val="24"/>
        </w:rPr>
      </w:pPr>
      <w:hyperlink r:id="rId15">
        <w:r w:rsidDel="00000000" w:rsidR="00000000" w:rsidRPr="00000000">
          <w:rPr>
            <w:rFonts w:ascii="Helvetica Neue" w:cs="Helvetica Neue" w:eastAsia="Helvetica Neue" w:hAnsi="Helvetica Neue"/>
            <w:color w:val="1155cc"/>
            <w:sz w:val="24"/>
            <w:szCs w:val="24"/>
            <w:u w:val="single"/>
            <w:rtl w:val="0"/>
          </w:rPr>
          <w:t xml:space="preserve">https://prologue.blogs.archives.gov/2020/03/24/unratified-amendments-regulating-child-labor/</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53">
      <w:pPr>
        <w:spacing w:after="0"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Sources:</w:t>
      </w:r>
    </w:p>
    <w:p w:rsidR="00000000" w:rsidDel="00000000" w:rsidP="00000000" w:rsidRDefault="00000000" w:rsidRPr="00000000" w14:paraId="00000054">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Court Cases, </w:t>
      </w:r>
      <w:hyperlink r:id="rId16">
        <w:r w:rsidDel="00000000" w:rsidR="00000000" w:rsidRPr="00000000">
          <w:rPr>
            <w:rFonts w:ascii="Helvetica Neue Light" w:cs="Helvetica Neue Light" w:eastAsia="Helvetica Neue Light" w:hAnsi="Helvetica Neue Light"/>
            <w:color w:val="1155cc"/>
            <w:sz w:val="20"/>
            <w:szCs w:val="20"/>
            <w:u w:val="single"/>
            <w:rtl w:val="0"/>
          </w:rPr>
          <w:t xml:space="preserve">Oyez.com</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5">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Child Labor Laws, </w:t>
      </w:r>
      <w:hyperlink r:id="rId17">
        <w:r w:rsidDel="00000000" w:rsidR="00000000" w:rsidRPr="00000000">
          <w:rPr>
            <w:rFonts w:ascii="Helvetica Neue Light" w:cs="Helvetica Neue Light" w:eastAsia="Helvetica Neue Light" w:hAnsi="Helvetica Neue Light"/>
            <w:color w:val="1155cc"/>
            <w:sz w:val="20"/>
            <w:szCs w:val="20"/>
            <w:u w:val="single"/>
            <w:rtl w:val="0"/>
          </w:rPr>
          <w:t xml:space="preserve">Child Labor | U.S. Department of Labor</w:t>
        </w:r>
      </w:hyperlink>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tl w:val="0"/>
        </w:rPr>
      </w:r>
    </w:p>
    <w:p w:rsidR="00000000" w:rsidDel="00000000" w:rsidP="00000000" w:rsidRDefault="00000000" w:rsidRPr="00000000" w14:paraId="00000056">
      <w:pPr>
        <w:spacing w:line="240" w:lineRule="auto"/>
        <w:rPr>
          <w:rFonts w:ascii="Helvetica Neue" w:cs="Helvetica Neue" w:eastAsia="Helvetica Neue" w:hAnsi="Helvetica Neue"/>
          <w:sz w:val="24"/>
          <w:szCs w:val="24"/>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2"/>
        <w:spacing w:after="0" w:line="240" w:lineRule="auto"/>
        <w:jc w:val="center"/>
        <w:rPr>
          <w:rFonts w:ascii="Helvetica Neue" w:cs="Helvetica Neue" w:eastAsia="Helvetica Neue" w:hAnsi="Helvetica Neue"/>
          <w:b w:val="1"/>
          <w:color w:val="1c2f4f"/>
        </w:rPr>
      </w:pPr>
      <w:bookmarkStart w:colFirst="0" w:colLast="0" w:name="_8235yrbrt9kd" w:id="2"/>
      <w:bookmarkEnd w:id="2"/>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Start class by polling students to see how many have a job</w:t>
            </w:r>
            <w:r w:rsidDel="00000000" w:rsidR="00000000" w:rsidRPr="00000000">
              <w:rPr>
                <w:rFonts w:ascii="Helvetica Neue" w:cs="Helvetica Neue" w:eastAsia="Helvetica Neue" w:hAnsi="Helvetica Neue"/>
                <w:sz w:val="24"/>
                <w:szCs w:val="24"/>
                <w:rtl w:val="0"/>
              </w:rPr>
              <w:t xml:space="preserve"> and/or receive money from chores, etc. Ask them when they started, what qualifications they needed, or what their motivation was for seeking the job.</w:t>
            </w:r>
          </w:p>
          <w:p w:rsidR="00000000" w:rsidDel="00000000" w:rsidP="00000000" w:rsidRDefault="00000000" w:rsidRPr="00000000" w14:paraId="0000005C">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Generate a discussion with students about jobs. Examples: </w:t>
            </w:r>
            <w:r w:rsidDel="00000000" w:rsidR="00000000" w:rsidRPr="00000000">
              <w:rPr>
                <w:rFonts w:ascii="Helvetica Neue" w:cs="Helvetica Neue" w:eastAsia="Helvetica Neue" w:hAnsi="Helvetica Neue"/>
                <w:i w:val="1"/>
                <w:sz w:val="24"/>
                <w:szCs w:val="24"/>
                <w:rtl w:val="0"/>
              </w:rPr>
              <w:t xml:space="preserve">Is it a good idea for younger people to have jobs?</w:t>
            </w:r>
            <w:r w:rsidDel="00000000" w:rsidR="00000000" w:rsidRPr="00000000">
              <w:rPr>
                <w:rFonts w:ascii="Helvetica Neue" w:cs="Helvetica Neue" w:eastAsia="Helvetica Neue" w:hAnsi="Helvetica Neue"/>
                <w:i w:val="1"/>
                <w:sz w:val="24"/>
                <w:szCs w:val="24"/>
                <w:rtl w:val="0"/>
              </w:rPr>
              <w:t xml:space="preserve"> </w:t>
            </w:r>
            <w:r w:rsidDel="00000000" w:rsidR="00000000" w:rsidRPr="00000000">
              <w:rPr>
                <w:rFonts w:ascii="Helvetica Neue" w:cs="Helvetica Neue" w:eastAsia="Helvetica Neue" w:hAnsi="Helvetica Neue"/>
                <w:i w:val="1"/>
                <w:sz w:val="24"/>
                <w:szCs w:val="24"/>
                <w:rtl w:val="0"/>
              </w:rPr>
              <w:t xml:space="preserve">Should the law set age requirements for when people are eligible to work? Are some jobs </w:t>
            </w:r>
            <w:r w:rsidDel="00000000" w:rsidR="00000000" w:rsidRPr="00000000">
              <w:rPr>
                <w:rFonts w:ascii="Helvetica Neue" w:cs="Helvetica Neue" w:eastAsia="Helvetica Neue" w:hAnsi="Helvetica Neue"/>
                <w:i w:val="1"/>
                <w:sz w:val="24"/>
                <w:szCs w:val="24"/>
                <w:rtl w:val="0"/>
              </w:rPr>
              <w:t xml:space="preserve">better suited</w:t>
            </w:r>
            <w:r w:rsidDel="00000000" w:rsidR="00000000" w:rsidRPr="00000000">
              <w:rPr>
                <w:rFonts w:ascii="Helvetica Neue" w:cs="Helvetica Neue" w:eastAsia="Helvetica Neue" w:hAnsi="Helvetica Neue"/>
                <w:i w:val="1"/>
                <w:sz w:val="24"/>
                <w:szCs w:val="24"/>
                <w:rtl w:val="0"/>
              </w:rPr>
              <w:t xml:space="preserve"> for younger individuals because of their age? Are there jobs that younger people should not have because of their age? Should the amount of money earned doing a job be the same regardless of the worker's age? Should the law set time requirements for younger workers? (i.e., breaks, overnight, school hours)</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5F">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This month’s focus will be on the rights and promises pertaining to children.</w:t>
            </w:r>
          </w:p>
          <w:p w:rsidR="00000000" w:rsidDel="00000000" w:rsidP="00000000" w:rsidRDefault="00000000" w:rsidRPr="00000000" w14:paraId="00000060">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18">
              <w:r w:rsidDel="00000000" w:rsidR="00000000" w:rsidRPr="00000000">
                <w:rPr>
                  <w:rFonts w:ascii="Helvetica Neue" w:cs="Helvetica Neue" w:eastAsia="Helvetica Neue" w:hAnsi="Helvetica Neue"/>
                  <w:color w:val="ea222d"/>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and</w:t>
            </w:r>
            <w:r w:rsidDel="00000000" w:rsidR="00000000" w:rsidRPr="00000000">
              <w:rPr>
                <w:rFonts w:ascii="Helvetica Neue" w:cs="Helvetica Neue" w:eastAsia="Helvetica Neue" w:hAnsi="Helvetica Neue"/>
                <w:sz w:val="24"/>
                <w:szCs w:val="24"/>
                <w:rtl w:val="0"/>
              </w:rPr>
              <w:t xml:space="preserve"> reveal the primary source inside.</w:t>
            </w:r>
          </w:p>
          <w:p w:rsidR="00000000" w:rsidDel="00000000" w:rsidP="00000000" w:rsidRDefault="00000000" w:rsidRPr="00000000" w14:paraId="0000006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62">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source is the Keating-Owen Labor Act of 1916. Use the link provided in the Speaker Notes of the slide to go directly to the source on the National Archives website, where you can find examination tools like a magnifier and a typed transcription.</w:t>
            </w:r>
          </w:p>
          <w:p w:rsidR="00000000" w:rsidDel="00000000" w:rsidP="00000000" w:rsidRDefault="00000000" w:rsidRPr="00000000" w14:paraId="0000006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class, read the first paragraph of the Act and discuss the main idea.</w:t>
            </w:r>
          </w:p>
          <w:p w:rsidR="00000000" w:rsidDel="00000000" w:rsidP="00000000" w:rsidRDefault="00000000" w:rsidRPr="00000000" w14:paraId="0000006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the students, what could have prompted legislation like this to be necessary? Whose rights are being protected through this legislation?</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Tell the students that today, they’re going to find out why the Keating-Owen Labor Act was so important during its time of passage in 1916. </w:t>
            </w:r>
          </w:p>
          <w:p w:rsidR="00000000" w:rsidDel="00000000" w:rsidP="00000000" w:rsidRDefault="00000000" w:rsidRPr="00000000" w14:paraId="0000006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Watch both</w:t>
            </w:r>
            <w:hyperlink r:id="rId19">
              <w:r w:rsidDel="00000000" w:rsidR="00000000" w:rsidRPr="00000000">
                <w:rPr>
                  <w:rFonts w:ascii="Helvetica Neue" w:cs="Helvetica Neue" w:eastAsia="Helvetica Neue" w:hAnsi="Helvetica Neue"/>
                  <w:color w:val="1155cc"/>
                  <w:sz w:val="24"/>
                  <w:szCs w:val="24"/>
                  <w:rtl w:val="0"/>
                </w:rPr>
                <w:t xml:space="preserve"> </w:t>
              </w:r>
            </w:hyperlink>
            <w:hyperlink r:id="rId20">
              <w:r w:rsidDel="00000000" w:rsidR="00000000" w:rsidRPr="00000000">
                <w:rPr>
                  <w:rFonts w:ascii="Helvetica Neue" w:cs="Helvetica Neue" w:eastAsia="Helvetica Neue" w:hAnsi="Helvetica Neue"/>
                  <w:color w:val="ff0000"/>
                  <w:sz w:val="24"/>
                  <w:szCs w:val="24"/>
                  <w:u w:val="single"/>
                  <w:rtl w:val="0"/>
                </w:rPr>
                <w:t xml:space="preserve">History of Child Labor in the U.S.</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clips from C-SPAN.</w:t>
            </w:r>
          </w:p>
          <w:p w:rsidR="00000000" w:rsidDel="00000000" w:rsidP="00000000" w:rsidRDefault="00000000" w:rsidRPr="00000000" w14:paraId="00000068">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This will give students some background on why child labor was widely used during this time.</w:t>
            </w:r>
            <w:r w:rsidDel="00000000" w:rsidR="00000000" w:rsidRPr="00000000">
              <w:rPr>
                <w:rtl w:val="0"/>
              </w:rPr>
            </w:r>
          </w:p>
          <w:p w:rsidR="00000000" w:rsidDel="00000000" w:rsidP="00000000" w:rsidRDefault="00000000" w:rsidRPr="00000000" w14:paraId="0000006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Hand out a copy of the </w:t>
            </w:r>
            <w:hyperlink r:id="rId21">
              <w:r w:rsidDel="00000000" w:rsidR="00000000" w:rsidRPr="00000000">
                <w:rPr>
                  <w:rFonts w:ascii="Helvetica Neue" w:cs="Helvetica Neue" w:eastAsia="Helvetica Neue" w:hAnsi="Helvetica Neue"/>
                  <w:color w:val="ea222d"/>
                  <w:sz w:val="24"/>
                  <w:szCs w:val="24"/>
                  <w:u w:val="single"/>
                  <w:rtl w:val="0"/>
                </w:rPr>
                <w:t xml:space="preserve">Analyzing a Photograph Worksheet</w:t>
              </w:r>
            </w:hyperlink>
            <w:r w:rsidDel="00000000" w:rsidR="00000000" w:rsidRPr="00000000">
              <w:rPr>
                <w:rFonts w:ascii="Helvetica Neue" w:cs="Helvetica Neue" w:eastAsia="Helvetica Neue" w:hAnsi="Helvetica Neue"/>
                <w:color w:val="ea222d"/>
                <w:sz w:val="24"/>
                <w:szCs w:val="24"/>
                <w:rtl w:val="0"/>
              </w:rPr>
              <w:t xml:space="preserve"> </w:t>
            </w:r>
            <w:r w:rsidDel="00000000" w:rsidR="00000000" w:rsidRPr="00000000">
              <w:rPr>
                <w:rFonts w:ascii="Helvetica Neue" w:cs="Helvetica Neue" w:eastAsia="Helvetica Neue" w:hAnsi="Helvetica Neue"/>
                <w:sz w:val="24"/>
                <w:szCs w:val="24"/>
                <w:rtl w:val="0"/>
              </w:rPr>
              <w:t xml:space="preserve">from the National Archives to every student. </w:t>
            </w:r>
          </w:p>
          <w:p w:rsidR="00000000" w:rsidDel="00000000" w:rsidP="00000000" w:rsidRDefault="00000000" w:rsidRPr="00000000" w14:paraId="0000006A">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Assign each student a photograph from </w:t>
            </w:r>
            <w:hyperlink r:id="rId22">
              <w:r w:rsidDel="00000000" w:rsidR="00000000" w:rsidRPr="00000000">
                <w:rPr>
                  <w:rFonts w:ascii="Helvetica Neue" w:cs="Helvetica Neue" w:eastAsia="Helvetica Neue" w:hAnsi="Helvetica Neue"/>
                  <w:color w:val="ea222d"/>
                  <w:sz w:val="24"/>
                  <w:szCs w:val="24"/>
                  <w:u w:val="single"/>
                  <w:rtl w:val="0"/>
                </w:rPr>
                <w:t xml:space="preserve">Images of Child Labor</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6B">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There are twenty-seven images. If your class size is more than that, you may use duplicates. Each of the Images of Child Labor slides has the title and citation information in the speaker notes. Some images have more information based on what was listed on the National Archives website.</w:t>
            </w:r>
            <w:r w:rsidDel="00000000" w:rsidR="00000000" w:rsidRPr="00000000">
              <w:rPr>
                <w:rtl w:val="0"/>
              </w:rPr>
            </w:r>
          </w:p>
          <w:p w:rsidR="00000000" w:rsidDel="00000000" w:rsidP="00000000" w:rsidRDefault="00000000" w:rsidRPr="00000000" w14:paraId="0000006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w:t>
            </w:r>
            <w:r w:rsidDel="00000000" w:rsidR="00000000" w:rsidRPr="00000000">
              <w:rPr>
                <w:rFonts w:ascii="Helvetica Neue" w:cs="Helvetica Neue" w:eastAsia="Helvetica Neue" w:hAnsi="Helvetica Neue"/>
                <w:sz w:val="24"/>
                <w:szCs w:val="24"/>
                <w:rtl w:val="0"/>
              </w:rPr>
              <w:t xml:space="preserve"> to students that today, they will analyze an image from the National Archives that displays child labor during the Second Industrial Revolution. Many of these images were taken by Lewis Hine, who was hired during the Progressive Era by the National Child Labor Committee to document child labor across the country.</w:t>
            </w:r>
          </w:p>
          <w:p w:rsidR="00000000" w:rsidDel="00000000" w:rsidP="00000000" w:rsidRDefault="00000000" w:rsidRPr="00000000" w14:paraId="0000006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Allow students time to analyze their photographs using the National Archive analysis worksheet.</w:t>
            </w:r>
          </w:p>
          <w:p w:rsidR="00000000" w:rsidDel="00000000" w:rsidP="00000000" w:rsidRDefault="00000000" w:rsidRPr="00000000" w14:paraId="0000006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Gather the students and have them share in small groups their photographs and the information they gathered. </w:t>
            </w:r>
          </w:p>
          <w:p w:rsidR="00000000" w:rsidDel="00000000" w:rsidP="00000000" w:rsidRDefault="00000000" w:rsidRPr="00000000" w14:paraId="0000006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Project or provide students with the </w:t>
            </w:r>
            <w:hyperlink r:id="rId23">
              <w:r w:rsidDel="00000000" w:rsidR="00000000" w:rsidRPr="00000000">
                <w:rPr>
                  <w:rFonts w:ascii="Helvetica Neue" w:cs="Helvetica Neue" w:eastAsia="Helvetica Neue" w:hAnsi="Helvetica Neue"/>
                  <w:color w:val="ff0000"/>
                  <w:sz w:val="24"/>
                  <w:szCs w:val="24"/>
                  <w:u w:val="single"/>
                  <w:rtl w:val="0"/>
                </w:rPr>
                <w:t xml:space="preserve">Promises of the Declaration Handout</w:t>
              </w:r>
            </w:hyperlink>
            <w:r w:rsidDel="00000000" w:rsidR="00000000" w:rsidRPr="00000000">
              <w:rPr>
                <w:rFonts w:ascii="Helvetica Neue" w:cs="Helvetica Neue" w:eastAsia="Helvetica Neue" w:hAnsi="Helvetica Neue"/>
                <w:sz w:val="24"/>
                <w:szCs w:val="24"/>
                <w:rtl w:val="0"/>
              </w:rPr>
              <w:t xml:space="preserve">. Ask students to discuss which promises were lacking in the various </w:t>
            </w:r>
            <w:r w:rsidDel="00000000" w:rsidR="00000000" w:rsidRPr="00000000">
              <w:rPr>
                <w:rFonts w:ascii="Helvetica Neue" w:cs="Helvetica Neue" w:eastAsia="Helvetica Neue" w:hAnsi="Helvetica Neue"/>
                <w:sz w:val="24"/>
                <w:szCs w:val="24"/>
                <w:rtl w:val="0"/>
              </w:rPr>
              <w:t xml:space="preserve">photographs studied today</w:t>
            </w:r>
            <w:r w:rsidDel="00000000" w:rsidR="00000000" w:rsidRPr="00000000">
              <w:rPr>
                <w:rFonts w:ascii="Helvetica Neue" w:cs="Helvetica Neue" w:eastAsia="Helvetica Neue" w:hAnsi="Helvetica Neue"/>
                <w:sz w:val="24"/>
                <w:szCs w:val="24"/>
                <w:rtl w:val="0"/>
              </w:rPr>
              <w:t xml:space="preserve">. What impact did the distribution of these photographs have?</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write a short letter from the perspective of one of the children in their photographs to an elected official about why child labor needs to be reformed and how the promises of the Declaration connect to that goal</w:t>
            </w:r>
            <w:r w:rsidDel="00000000" w:rsidR="00000000" w:rsidRPr="00000000">
              <w:rPr>
                <w:rFonts w:ascii="Helvetica Neue" w:cs="Helvetica Neue" w:eastAsia="Helvetica Neue" w:hAnsi="Helvetica Neue"/>
                <w:sz w:val="24"/>
                <w:szCs w:val="24"/>
                <w:rtl w:val="0"/>
              </w:rPr>
              <w:t xml:space="preserv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tc>
      </w:tr>
    </w:tbl>
    <w:p w:rsidR="00000000" w:rsidDel="00000000" w:rsidP="00000000" w:rsidRDefault="00000000" w:rsidRPr="00000000" w14:paraId="00000072">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3"/>
      <w:bookmarkEnd w:id="3"/>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4"/>
      <w:bookmarkEnd w:id="4"/>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5"/>
      <w:bookmarkEnd w:id="5"/>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6"/>
      <w:bookmarkEnd w:id="6"/>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numPr>
                <w:ilvl w:val="0"/>
                <w:numId w:val="2"/>
              </w:numPr>
              <w:spacing w:after="0" w:before="0" w:line="240" w:lineRule="auto"/>
              <w:ind w:left="720" w:hanging="360"/>
              <w:rPr>
                <w:rFonts w:ascii="Helvetica Neue" w:cs="Helvetica Neue" w:eastAsia="Helvetica Neue" w:hAnsi="Helvetica Neue"/>
                <w:sz w:val="24"/>
                <w:szCs w:val="24"/>
                <w:u w:val="none"/>
              </w:rPr>
            </w:pPr>
            <w:hyperlink r:id="rId24">
              <w:r w:rsidDel="00000000" w:rsidR="00000000" w:rsidRPr="00000000">
                <w:rPr>
                  <w:rFonts w:ascii="Helvetica Neue" w:cs="Helvetica Neue" w:eastAsia="Helvetica Neue" w:hAnsi="Helvetica Neue"/>
                  <w:color w:val="1155cc"/>
                  <w:sz w:val="24"/>
                  <w:szCs w:val="24"/>
                  <w:u w:val="single"/>
                  <w:rtl w:val="0"/>
                </w:rPr>
                <w:t xml:space="preserve">Written Response Rubric</w:t>
              </w:r>
            </w:hyperlink>
            <w:r w:rsidDel="00000000" w:rsidR="00000000" w:rsidRPr="00000000">
              <w:rPr>
                <w:rtl w:val="0"/>
              </w:rPr>
            </w:r>
          </w:p>
        </w:tc>
      </w:tr>
    </w:tbl>
    <w:p w:rsidR="00000000" w:rsidDel="00000000" w:rsidP="00000000" w:rsidRDefault="00000000" w:rsidRPr="00000000" w14:paraId="0000007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Helvetica Neue" w:cs="Helvetica Neue" w:eastAsia="Helvetica Neue" w:hAnsi="Helvetica Neue"/>
                <w:sz w:val="24"/>
                <w:szCs w:val="24"/>
              </w:rPr>
            </w:pPr>
            <w:hyperlink r:id="rId25">
              <w:r w:rsidDel="00000000" w:rsidR="00000000" w:rsidRPr="00000000">
                <w:rPr>
                  <w:rFonts w:ascii="Helvetica Neue" w:cs="Helvetica Neue" w:eastAsia="Helvetica Neue" w:hAnsi="Helvetica Neue"/>
                  <w:color w:val="1155cc"/>
                  <w:sz w:val="24"/>
                  <w:szCs w:val="24"/>
                  <w:u w:val="single"/>
                  <w:rtl w:val="0"/>
                </w:rPr>
                <w:t xml:space="preserve">C-SPAN Classroom Educator Resources</w:t>
              </w:r>
            </w:hyperlink>
            <w:r w:rsidDel="00000000" w:rsidR="00000000" w:rsidRPr="00000000">
              <w:rPr>
                <w:rtl w:val="0"/>
              </w:rPr>
            </w:r>
          </w:p>
          <w:p w:rsidR="00000000" w:rsidDel="00000000" w:rsidP="00000000" w:rsidRDefault="00000000" w:rsidRPr="00000000" w14:paraId="0000007D">
            <w:pPr>
              <w:widowControl w:val="0"/>
              <w:spacing w:line="240" w:lineRule="auto"/>
              <w:rPr/>
            </w:pPr>
            <w:hyperlink r:id="rId26">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7E">
            <w:pPr>
              <w:widowControl w:val="0"/>
              <w:spacing w:line="240" w:lineRule="auto"/>
              <w:rPr>
                <w:rFonts w:ascii="Helvetica Neue" w:cs="Helvetica Neue" w:eastAsia="Helvetica Neue" w:hAnsi="Helvetica Neue"/>
                <w:sz w:val="24"/>
                <w:szCs w:val="24"/>
              </w:rPr>
            </w:pPr>
            <w:hyperlink r:id="rId27">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28"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2">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color w:val="00000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c-span.org/classroom/document/?24155" TargetMode="External"/><Relationship Id="rId22" Type="http://schemas.openxmlformats.org/officeDocument/2006/relationships/hyperlink" Target="https://docs.google.com/presentation/d/1Ir8L4wPfEU4RErDE6wejTv7LFJNLzJwXhHeUbNm3ots/edit?usp=sharing" TargetMode="External"/><Relationship Id="rId21" Type="http://schemas.openxmlformats.org/officeDocument/2006/relationships/hyperlink" Target="https://drive.google.com/file/d/1wCN-d18yy7ItHdU2iq-W9mKiKFDZbeig/view?usp=drive_link" TargetMode="External"/><Relationship Id="rId24" Type="http://schemas.openxmlformats.org/officeDocument/2006/relationships/hyperlink" Target="https://docs.google.com/document/d/1y0C403YEG9l33n5tPAuiajF3raJMNboAqb7i3NGPK4I/edit?usp=drive_link" TargetMode="External"/><Relationship Id="rId23" Type="http://schemas.openxmlformats.org/officeDocument/2006/relationships/hyperlink" Target="https://drive.google.com/file/d/1usQ2sUHVZcPTwCJU5RRLlLyWHPKus3zH/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floridacitizen.org" TargetMode="External"/><Relationship Id="rId25" Type="http://schemas.openxmlformats.org/officeDocument/2006/relationships/hyperlink" Target="https://www.c-span.org/classroom/" TargetMode="External"/><Relationship Id="rId28" Type="http://schemas.openxmlformats.org/officeDocument/2006/relationships/header" Target="header3.xml"/><Relationship Id="rId27" Type="http://schemas.openxmlformats.org/officeDocument/2006/relationships/hyperlink" Target="https://www.archives.gov/education/lessons/worksheet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image" Target="media/image1.png"/><Relationship Id="rId10" Type="http://schemas.openxmlformats.org/officeDocument/2006/relationships/image" Target="media/image4.png"/><Relationship Id="rId13" Type="http://schemas.openxmlformats.org/officeDocument/2006/relationships/hyperlink" Target="https://www.dol.gov/agencies/whd/state/child-labor/agriculture" TargetMode="External"/><Relationship Id="rId12" Type="http://schemas.openxmlformats.org/officeDocument/2006/relationships/hyperlink" Target="https://centerforindividualism.org/individualism-founding-fathers-part-1-liberty-limited-government/" TargetMode="External"/><Relationship Id="rId15" Type="http://schemas.openxmlformats.org/officeDocument/2006/relationships/hyperlink" Target="https://prologue.blogs.archives.gov/2020/03/24/unratified-amendments-regulating-child-labor/" TargetMode="External"/><Relationship Id="rId14" Type="http://schemas.openxmlformats.org/officeDocument/2006/relationships/hyperlink" Target="https://www.archives.gov/milestone-documents/keating-owen-child-labor-act?_ga=2.5015472.2080964657.1741714354-446224546.1736439800" TargetMode="External"/><Relationship Id="rId17" Type="http://schemas.openxmlformats.org/officeDocument/2006/relationships/hyperlink" Target="https://www.dol.gov/agencies/whd/child-labor" TargetMode="External"/><Relationship Id="rId16" Type="http://schemas.openxmlformats.org/officeDocument/2006/relationships/hyperlink" Target="http://oyez.com" TargetMode="External"/><Relationship Id="rId19" Type="http://schemas.openxmlformats.org/officeDocument/2006/relationships/hyperlink" Target="https://www.c-span.org/classroom/document/?24155" TargetMode="External"/><Relationship Id="rId18" Type="http://schemas.openxmlformats.org/officeDocument/2006/relationships/hyperlink" Target="https://docs.google.com/presentation/d/1JtQuosALbREoSEf3nw6Im0-sBEiogvtVs3-jQQA_xwc/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