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i w:val="1"/>
                <w:color w:val="ea222d"/>
                <w:sz w:val="48"/>
                <w:szCs w:val="48"/>
              </w:rPr>
            </w:pPr>
            <w:r w:rsidDel="00000000" w:rsidR="00000000" w:rsidRPr="00000000">
              <w:rPr>
                <w:rFonts w:ascii="Helvetica Neue" w:cs="Helvetica Neue" w:eastAsia="Helvetica Neue" w:hAnsi="Helvetica Neue"/>
                <w:b w:val="1"/>
                <w:color w:val="ea222d"/>
                <w:sz w:val="24"/>
                <w:szCs w:val="24"/>
                <w:rtl w:val="0"/>
              </w:rPr>
              <w:t xml:space="preserve"> </w:t>
            </w:r>
            <w:r w:rsidDel="00000000" w:rsidR="00000000" w:rsidRPr="00000000">
              <w:rPr>
                <w:rFonts w:ascii="Helvetica Neue" w:cs="Helvetica Neue" w:eastAsia="Helvetica Neue" w:hAnsi="Helvetica Neue"/>
                <w:i w:val="1"/>
                <w:color w:val="ea222d"/>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b w:val="1"/>
                <w:color w:val="1c2f4f"/>
                <w:sz w:val="24"/>
                <w:szCs w:val="24"/>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Hispanic &amp; Latino Americans</w:t>
            </w:r>
            <w:r w:rsidDel="00000000" w:rsidR="00000000" w:rsidRPr="00000000">
              <w:rPr>
                <w:rFonts w:ascii="Helvetica Neue" w:cs="Helvetica Neue" w:eastAsia="Helvetica Neue" w:hAnsi="Helvetica Neue"/>
                <w:b w:val="1"/>
                <w:color w:val="ed232d"/>
                <w:sz w:val="32"/>
                <w:szCs w:val="32"/>
                <w:rtl w:val="0"/>
              </w:rPr>
              <w:t xml:space="preserve">: The Declaration’s 194th Birthday in 1970</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 CONTENTS</w:t>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355522132"/>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4</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2271713</wp:posOffset>
            </wp:positionV>
            <wp:extent cx="3787841" cy="836482"/>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787841" cy="836482"/>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3962400</wp:posOffset>
            </wp:positionH>
            <wp:positionV relativeFrom="paragraph">
              <wp:posOffset>2243138</wp:posOffset>
            </wp:positionV>
            <wp:extent cx="3034289" cy="903157"/>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034289" cy="903157"/>
                    </a:xfrm>
                    <a:prstGeom prst="rect"/>
                    <a:ln/>
                  </pic:spPr>
                </pic:pic>
              </a:graphicData>
            </a:graphic>
          </wp:anchor>
        </w:drawing>
      </w:r>
    </w:p>
    <w:p w:rsidR="00000000" w:rsidDel="00000000" w:rsidP="00000000" w:rsidRDefault="00000000" w:rsidRPr="00000000" w14:paraId="0000001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in its 194th year. The focus will be on the promises outlined in the Declaration and their connection to Hispanic and Latino Americans during the Chicano Movement.</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did the promises of the Declaration of Independence serve as an inspiration to Hispanic and Latino Americans in its 194th year?</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5"/>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B">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C">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D">
            <w:pPr>
              <w:numPr>
                <w:ilvl w:val="0"/>
                <w:numId w:val="5"/>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2"/>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Boycott Hook Slides</w:t>
            </w:r>
          </w:p>
          <w:p w:rsidR="00000000" w:rsidDel="00000000" w:rsidP="00000000" w:rsidRDefault="00000000" w:rsidRPr="00000000" w14:paraId="00000020">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Primary Source Digital Unwrapping Slides</w:t>
            </w:r>
          </w:p>
          <w:p w:rsidR="00000000" w:rsidDel="00000000" w:rsidP="00000000" w:rsidRDefault="00000000" w:rsidRPr="00000000" w14:paraId="00000021">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C-SPAN “</w:t>
            </w:r>
            <w:r w:rsidDel="00000000" w:rsidR="00000000" w:rsidRPr="00000000">
              <w:rPr>
                <w:rFonts w:ascii="Helvetica Neue" w:cs="Helvetica Neue" w:eastAsia="Helvetica Neue" w:hAnsi="Helvetica Neue"/>
                <w:sz w:val="24"/>
                <w:szCs w:val="24"/>
                <w:rtl w:val="0"/>
              </w:rPr>
              <w:t xml:space="preserve">Dolores Huerta and the United Farm Workers” Video</w:t>
            </w:r>
            <w:r w:rsidDel="00000000" w:rsidR="00000000" w:rsidRPr="00000000">
              <w:rPr>
                <w:rFonts w:ascii="Helvetica Neue" w:cs="Helvetica Neue" w:eastAsia="Helvetica Neue" w:hAnsi="Helvetica Neue"/>
                <w:sz w:val="24"/>
                <w:szCs w:val="24"/>
                <w:rtl w:val="0"/>
              </w:rPr>
              <w:t xml:space="preserve"> (external link)</w:t>
            </w:r>
          </w:p>
          <w:p w:rsidR="00000000" w:rsidDel="00000000" w:rsidP="00000000" w:rsidRDefault="00000000" w:rsidRPr="00000000" w14:paraId="00000022">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Civic Participation Chart</w:t>
            </w:r>
          </w:p>
          <w:p w:rsidR="00000000" w:rsidDel="00000000" w:rsidP="00000000" w:rsidRDefault="00000000" w:rsidRPr="00000000" w14:paraId="00000023">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Civic Participation Placards</w:t>
            </w:r>
          </w:p>
          <w:p w:rsidR="00000000" w:rsidDel="00000000" w:rsidP="00000000" w:rsidRDefault="00000000" w:rsidRPr="00000000" w14:paraId="00000024">
            <w:pPr>
              <w:numPr>
                <w:ilvl w:val="0"/>
                <w:numId w:val="2"/>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National Archives “Senator Robert F. Kennedy Statement on Cesar Chavez” (external link)</w:t>
            </w:r>
          </w:p>
          <w:p w:rsidR="00000000" w:rsidDel="00000000" w:rsidP="00000000" w:rsidRDefault="00000000" w:rsidRPr="00000000" w14:paraId="00000025">
            <w:pPr>
              <w:numPr>
                <w:ilvl w:val="0"/>
                <w:numId w:val="2"/>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Promises of the Declaration of Independence Handout (optional)</w:t>
            </w:r>
          </w:p>
        </w:tc>
      </w:tr>
    </w:tbl>
    <w:p w:rsidR="00000000" w:rsidDel="00000000" w:rsidP="00000000" w:rsidRDefault="00000000" w:rsidRPr="00000000" w14:paraId="00000026">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7">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w:t>
      </w:r>
      <w:r w:rsidDel="00000000" w:rsidR="00000000" w:rsidRPr="00000000">
        <w:rPr>
          <w:rFonts w:ascii="Helvetica Neue" w:cs="Helvetica Neue" w:eastAsia="Helvetica Neue" w:hAnsi="Helvetica Neue"/>
          <w:b w:val="1"/>
          <w:color w:val="1c2f4f"/>
          <w:rtl w:val="0"/>
        </w:rPr>
        <w:t xml:space="preserve"> BACKGROUND INFORMATION</w:t>
      </w:r>
      <w:r w:rsidDel="00000000" w:rsidR="00000000" w:rsidRPr="00000000">
        <w:rPr>
          <w:rtl w:val="0"/>
        </w:rPr>
      </w:r>
    </w:p>
    <w:p w:rsidR="00000000" w:rsidDel="00000000" w:rsidP="00000000" w:rsidRDefault="00000000" w:rsidRPr="00000000" w14:paraId="00000028">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A">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 Key Promises in the Declaration of Independence</w:t>
      </w:r>
      <w:r w:rsidDel="00000000" w:rsidR="00000000" w:rsidRPr="00000000">
        <w:rPr>
          <w:rtl w:val="0"/>
        </w:rPr>
      </w:r>
    </w:p>
    <w:p w:rsidR="00000000" w:rsidDel="00000000" w:rsidP="00000000" w:rsidRDefault="00000000" w:rsidRPr="00000000" w14:paraId="0000002B">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C">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Individualism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D">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2E">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2F">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30">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 as written in the Declaration.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1">
      <w:pPr>
        <w:numPr>
          <w:ilvl w:val="0"/>
          <w:numId w:val="6"/>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2">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tl w:val="0"/>
        </w:rPr>
      </w:r>
    </w:p>
    <w:p w:rsidR="00000000" w:rsidDel="00000000" w:rsidP="00000000" w:rsidRDefault="00000000" w:rsidRPr="00000000" w14:paraId="00000033">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2. </w:t>
      </w:r>
      <w:r w:rsidDel="00000000" w:rsidR="00000000" w:rsidRPr="00000000">
        <w:rPr>
          <w:rFonts w:ascii="Helvetica Neue" w:cs="Helvetica Neue" w:eastAsia="Helvetica Neue" w:hAnsi="Helvetica Neue"/>
          <w:b w:val="1"/>
          <w:sz w:val="24"/>
          <w:szCs w:val="24"/>
          <w:rtl w:val="0"/>
        </w:rPr>
        <w:t xml:space="preserve">Connecting the Promises to Hispanic and Latino Americans</w:t>
      </w:r>
      <w:r w:rsidDel="00000000" w:rsidR="00000000" w:rsidRPr="00000000">
        <w:rPr>
          <w:rtl w:val="0"/>
        </w:rPr>
      </w:r>
    </w:p>
    <w:p w:rsidR="00000000" w:rsidDel="00000000" w:rsidP="00000000" w:rsidRDefault="00000000" w:rsidRPr="00000000" w14:paraId="00000034">
      <w:pPr>
        <w:numPr>
          <w:ilvl w:val="0"/>
          <w:numId w:val="4"/>
        </w:numPr>
        <w:spacing w:after="200" w:line="240" w:lineRule="auto"/>
        <w:ind w:left="720" w:hanging="360"/>
        <w:rPr>
          <w:rFonts w:ascii="Helvetica Neue" w:cs="Helvetica Neue" w:eastAsia="Helvetica Neue" w:hAnsi="Helvetica Neue"/>
          <w:b w:val="1"/>
          <w:sz w:val="24"/>
          <w:szCs w:val="24"/>
          <w:u w:val="none"/>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5">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colonists argued in the Declaration of Independence that “whenever any form of government becomes destructive of these ends, it is the right of the people to alter or to abolish it…”.  With this statement, the colonists claimed that they had the right to revolution.  As detailed below, i</w:t>
      </w:r>
      <w:r w:rsidDel="00000000" w:rsidR="00000000" w:rsidRPr="00000000">
        <w:rPr>
          <w:rFonts w:ascii="Helvetica Neue" w:cs="Helvetica Neue" w:eastAsia="Helvetica Neue" w:hAnsi="Helvetica Neue"/>
          <w:sz w:val="24"/>
          <w:szCs w:val="24"/>
          <w:rtl w:val="0"/>
        </w:rPr>
        <w:t xml:space="preserve">ndividuals</w:t>
      </w:r>
      <w:r w:rsidDel="00000000" w:rsidR="00000000" w:rsidRPr="00000000">
        <w:rPr>
          <w:rFonts w:ascii="Helvetica Neue" w:cs="Helvetica Neue" w:eastAsia="Helvetica Neue" w:hAnsi="Helvetica Neue"/>
          <w:sz w:val="24"/>
          <w:szCs w:val="24"/>
          <w:rtl w:val="0"/>
        </w:rPr>
        <w:t xml:space="preserve"> of Hispanic descent have acted to alter the government because they have been denied their unalienable rights based on their ethnicity.  </w:t>
      </w:r>
    </w:p>
    <w:p w:rsidR="00000000" w:rsidDel="00000000" w:rsidP="00000000" w:rsidRDefault="00000000" w:rsidRPr="00000000" w14:paraId="00000036">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Hispanic American efforts to bring about revolution have included fighting for fair wages and working conditions through labor unions. These labor union-related efforts often incorporate civil rights activism, including protests, boycotts, and marches. Hispanic Americans have also worked to change the government by running for office and advocating for election law changes, which have made voting more accessible to Spanish speakers, many of whom are Hispanic.</w:t>
      </w:r>
    </w:p>
    <w:p w:rsidR="00000000" w:rsidDel="00000000" w:rsidP="00000000" w:rsidRDefault="00000000" w:rsidRPr="00000000" w14:paraId="00000037">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Cesar Chavez and Dolores Huerta were Hispanic labor leaders who co-founded the United Farm Workers of America (UFW). UFW remains the first and largest farm workers' union in the United States. It formed in the 1960s to protect Hispanic farm workers, most of whom were concentrated in California and other western states. The UFW </w:t>
      </w:r>
      <w:r w:rsidDel="00000000" w:rsidR="00000000" w:rsidRPr="00000000">
        <w:rPr>
          <w:rFonts w:ascii="Helvetica Neue" w:cs="Helvetica Neue" w:eastAsia="Helvetica Neue" w:hAnsi="Helvetica Neue"/>
          <w:sz w:val="24"/>
          <w:szCs w:val="24"/>
          <w:rtl w:val="0"/>
        </w:rPr>
        <w:t xml:space="preserve">argued</w:t>
      </w:r>
      <w:r w:rsidDel="00000000" w:rsidR="00000000" w:rsidRPr="00000000">
        <w:rPr>
          <w:rFonts w:ascii="Helvetica Neue" w:cs="Helvetica Neue" w:eastAsia="Helvetica Neue" w:hAnsi="Helvetica Neue"/>
          <w:sz w:val="24"/>
          <w:szCs w:val="24"/>
          <w:rtl w:val="0"/>
        </w:rPr>
        <w:t xml:space="preserve"> that these farm workers were discriminated against because of their race, ethnicity, citizenship status, spoken and written language, and education. Chavez, Huerta, and others raised public awareness about farm workers’ rights and working conditions, which led to better working conditions and pay through unionization, lobbying, and political activism.  </w:t>
      </w:r>
    </w:p>
    <w:p w:rsidR="00000000" w:rsidDel="00000000" w:rsidP="00000000" w:rsidRDefault="00000000" w:rsidRPr="00000000" w14:paraId="00000038">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Hispanic Americans have also fought for political rights. The Voting Rights Act of 1965 outlaws racial discrimination in voting, but it was not until 1975 that the Voting Rights Act was amended to make voting more accessible to individuals who rely on a language other than English.  Section 203 requires that all aspects of the voting process, including registration, be provided in any language where at least 10,000 or 5% of the population of a political jurisdiction, such as a county, relies on that language. </w:t>
      </w:r>
    </w:p>
    <w:p w:rsidR="00000000" w:rsidDel="00000000" w:rsidP="00000000" w:rsidRDefault="00000000" w:rsidRPr="00000000" w14:paraId="00000039">
      <w:pPr>
        <w:spacing w:after="160" w:line="240" w:lineRule="auto"/>
        <w:ind w:left="72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The Voting Rights Act has also encouraged Hispanics to run for public office and to motivate non-Spanish speaking candidates and public officials to campaign in Hispanic areas.  These efforts have included increased advertising on Spanish-language media.  </w:t>
      </w:r>
    </w:p>
    <w:p w:rsidR="00000000" w:rsidDel="00000000" w:rsidP="00000000" w:rsidRDefault="00000000" w:rsidRPr="00000000" w14:paraId="0000003A">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Additionally, Hispanic Americans’ efforts have brought about economic and political change. Political activism and increased public awareness of issues facing Hispanics have motivated the national government and state governments to better address the concerns of Hispanic Americans.  </w:t>
      </w:r>
      <w:r w:rsidDel="00000000" w:rsidR="00000000" w:rsidRPr="00000000">
        <w:rPr>
          <w:rtl w:val="0"/>
        </w:rPr>
      </w:r>
    </w:p>
    <w:p w:rsidR="00000000" w:rsidDel="00000000" w:rsidP="00000000" w:rsidRDefault="00000000" w:rsidRPr="00000000" w14:paraId="0000003B">
      <w:pPr>
        <w:spacing w:after="200" w:line="24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3C">
      <w:pPr>
        <w:spacing w:after="200" w:line="240" w:lineRule="auto"/>
        <w:rPr>
          <w:rFonts w:ascii="Helvetica Neue" w:cs="Helvetica Neue" w:eastAsia="Helvetica Neue" w:hAnsi="Helvetica Neue"/>
          <w:b w:val="1"/>
          <w:sz w:val="24"/>
          <w:szCs w:val="24"/>
        </w:rPr>
      </w:pPr>
      <w:r w:rsidDel="00000000" w:rsidR="00000000" w:rsidRPr="00000000">
        <w:rPr>
          <w:rtl w:val="0"/>
        </w:rPr>
      </w:r>
    </w:p>
    <w:p w:rsidR="00000000" w:rsidDel="00000000" w:rsidP="00000000" w:rsidRDefault="00000000" w:rsidRPr="00000000" w14:paraId="0000003D">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3. Brief Timeline </w:t>
      </w:r>
      <w:r w:rsidDel="00000000" w:rsidR="00000000" w:rsidRPr="00000000">
        <w:rPr>
          <w:rFonts w:ascii="Helvetica Neue" w:cs="Helvetica Neue" w:eastAsia="Helvetica Neue" w:hAnsi="Helvetica Neue"/>
          <w:b w:val="1"/>
          <w:sz w:val="24"/>
          <w:szCs w:val="24"/>
          <w:rtl w:val="0"/>
        </w:rPr>
        <w:t xml:space="preserve">of the Delano Grape Strike</w:t>
      </w:r>
      <w:r w:rsidDel="00000000" w:rsidR="00000000" w:rsidRPr="00000000">
        <w:rPr>
          <w:rtl w:val="0"/>
        </w:rPr>
      </w:r>
    </w:p>
    <w:p w:rsidR="00000000" w:rsidDel="00000000" w:rsidP="00000000" w:rsidRDefault="00000000" w:rsidRPr="00000000" w14:paraId="0000003E">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1929</w:t>
      </w:r>
      <w:r w:rsidDel="00000000" w:rsidR="00000000" w:rsidRPr="00000000">
        <w:rPr>
          <w:rFonts w:ascii="Helvetica Neue" w:cs="Helvetica Neue" w:eastAsia="Helvetica Neue" w:hAnsi="Helvetica Neue"/>
          <w:b w:val="1"/>
          <w:sz w:val="24"/>
          <w:szCs w:val="24"/>
          <w:rtl w:val="0"/>
        </w:rPr>
        <w:t xml:space="preserve">, </w:t>
      </w:r>
      <w:r w:rsidDel="00000000" w:rsidR="00000000" w:rsidRPr="00000000">
        <w:rPr>
          <w:rFonts w:ascii="Helvetica Neue" w:cs="Helvetica Neue" w:eastAsia="Helvetica Neue" w:hAnsi="Helvetica Neue"/>
          <w:sz w:val="24"/>
          <w:szCs w:val="24"/>
          <w:rtl w:val="0"/>
        </w:rPr>
        <w:t xml:space="preserve">several Latino service organizations merged to form the League of United Latin American Citizens (LULAC). This organization helps fight for Hispanic and Latino American civil rights, education, health, and more.</w:t>
      </w:r>
    </w:p>
    <w:p w:rsidR="00000000" w:rsidDel="00000000" w:rsidP="00000000" w:rsidRDefault="00000000" w:rsidRPr="00000000" w14:paraId="0000003F">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the 1940s, </w:t>
      </w:r>
      <w:r w:rsidDel="00000000" w:rsidR="00000000" w:rsidRPr="00000000">
        <w:rPr>
          <w:rFonts w:ascii="Helvetica Neue" w:cs="Helvetica Neue" w:eastAsia="Helvetica Neue" w:hAnsi="Helvetica Neue"/>
          <w:sz w:val="24"/>
          <w:szCs w:val="24"/>
          <w:rtl w:val="0"/>
        </w:rPr>
        <w:t xml:space="preserve">El Movimiento, or the </w:t>
      </w:r>
      <w:r w:rsidDel="00000000" w:rsidR="00000000" w:rsidRPr="00000000">
        <w:rPr>
          <w:rFonts w:ascii="Helvetica Neue" w:cs="Helvetica Neue" w:eastAsia="Helvetica Neue" w:hAnsi="Helvetica Neue"/>
          <w:sz w:val="24"/>
          <w:szCs w:val="24"/>
          <w:rtl w:val="0"/>
        </w:rPr>
        <w:t xml:space="preserve">Chicano Movement,</w:t>
      </w:r>
      <w:r w:rsidDel="00000000" w:rsidR="00000000" w:rsidRPr="00000000">
        <w:rPr>
          <w:rFonts w:ascii="Helvetica Neue" w:cs="Helvetica Neue" w:eastAsia="Helvetica Neue" w:hAnsi="Helvetica Neue"/>
          <w:sz w:val="24"/>
          <w:szCs w:val="24"/>
          <w:rtl w:val="0"/>
        </w:rPr>
        <w:t xml:space="preserve"> started, bolstered by social, economic, cultural, and political change. This movement continued for another thirty years.</w:t>
      </w:r>
    </w:p>
    <w:p w:rsidR="00000000" w:rsidDel="00000000" w:rsidP="00000000" w:rsidRDefault="00000000" w:rsidRPr="00000000" w14:paraId="00000040">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1943, </w:t>
      </w:r>
      <w:r w:rsidDel="00000000" w:rsidR="00000000" w:rsidRPr="00000000">
        <w:rPr>
          <w:rFonts w:ascii="Helvetica Neue" w:cs="Helvetica Neue" w:eastAsia="Helvetica Neue" w:hAnsi="Helvetica Neue"/>
          <w:sz w:val="24"/>
          <w:szCs w:val="24"/>
          <w:rtl w:val="0"/>
        </w:rPr>
        <w:t xml:space="preserve">the Bracero Program brought millions of men from Mexico to work legally on short-term labor contracts in the U.S. for agriculture and railroads during World War II. Many stayed and were granted citizenship after the war ended.</w:t>
      </w:r>
    </w:p>
    <w:p w:rsidR="00000000" w:rsidDel="00000000" w:rsidP="00000000" w:rsidRDefault="00000000" w:rsidRPr="00000000" w14:paraId="00000041">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1962, </w:t>
      </w:r>
      <w:r w:rsidDel="00000000" w:rsidR="00000000" w:rsidRPr="00000000">
        <w:rPr>
          <w:rFonts w:ascii="Helvetica Neue" w:cs="Helvetica Neue" w:eastAsia="Helvetica Neue" w:hAnsi="Helvetica Neue"/>
          <w:sz w:val="24"/>
          <w:szCs w:val="24"/>
          <w:rtl w:val="0"/>
        </w:rPr>
        <w:t xml:space="preserve">Cesar Chavez and Dolores Huerta established the National Farm Workers Association (NFWA) in California, which later became the United Farm Workers (UFW).</w:t>
      </w:r>
    </w:p>
    <w:p w:rsidR="00000000" w:rsidDel="00000000" w:rsidP="00000000" w:rsidRDefault="00000000" w:rsidRPr="00000000" w14:paraId="00000042">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1965,</w:t>
      </w:r>
      <w:r w:rsidDel="00000000" w:rsidR="00000000" w:rsidRPr="00000000">
        <w:rPr>
          <w:rFonts w:ascii="Helvetica Neue" w:cs="Helvetica Neue" w:eastAsia="Helvetica Neue" w:hAnsi="Helvetica Neue"/>
          <w:sz w:val="24"/>
          <w:szCs w:val="24"/>
          <w:rtl w:val="0"/>
        </w:rPr>
        <w:t xml:space="preserve"> Filipino and Latino farm workers began a nonviolent strike against Delano-area table and wine grape growers, citing the need for better pay and better working conditions. The strike eventually led to a boycott of table grapes, which spread across the country.</w:t>
      </w:r>
    </w:p>
    <w:p w:rsidR="00000000" w:rsidDel="00000000" w:rsidP="00000000" w:rsidRDefault="00000000" w:rsidRPr="00000000" w14:paraId="00000043">
      <w:pPr>
        <w:spacing w:after="200"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In 1970,</w:t>
      </w:r>
      <w:r w:rsidDel="00000000" w:rsidR="00000000" w:rsidRPr="00000000">
        <w:rPr>
          <w:rFonts w:ascii="Helvetica Neue" w:cs="Helvetica Neue" w:eastAsia="Helvetica Neue" w:hAnsi="Helvetica Neue"/>
          <w:sz w:val="24"/>
          <w:szCs w:val="24"/>
          <w:rtl w:val="0"/>
        </w:rPr>
        <w:t xml:space="preserve"> the boycott and strikes ended with union contracts that included better pay, benefits, and protections for workers. </w:t>
      </w:r>
    </w:p>
    <w:p w:rsidR="00000000" w:rsidDel="00000000" w:rsidP="00000000" w:rsidRDefault="00000000" w:rsidRPr="00000000" w14:paraId="00000044">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Sources: </w:t>
      </w:r>
      <w:r w:rsidDel="00000000" w:rsidR="00000000" w:rsidRPr="00000000">
        <w:rPr>
          <w:rFonts w:ascii="Helvetica Neue Light" w:cs="Helvetica Neue Light" w:eastAsia="Helvetica Neue Light" w:hAnsi="Helvetica Neue Light"/>
          <w:sz w:val="24"/>
          <w:szCs w:val="24"/>
          <w:rtl w:val="0"/>
        </w:rPr>
        <w:t xml:space="preserve"> </w:t>
      </w:r>
      <w:r w:rsidDel="00000000" w:rsidR="00000000" w:rsidRPr="00000000">
        <w:rPr>
          <w:rtl w:val="0"/>
        </w:rPr>
      </w:r>
    </w:p>
    <w:p w:rsidR="00000000" w:rsidDel="00000000" w:rsidP="00000000" w:rsidRDefault="00000000" w:rsidRPr="00000000" w14:paraId="00000045">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Cesar Chavez, </w:t>
      </w:r>
      <w:hyperlink r:id="rId13">
        <w:r w:rsidDel="00000000" w:rsidR="00000000" w:rsidRPr="00000000">
          <w:rPr>
            <w:rFonts w:ascii="Helvetica Neue Light" w:cs="Helvetica Neue Light" w:eastAsia="Helvetica Neue Light" w:hAnsi="Helvetica Neue Light"/>
            <w:color w:val="1155cc"/>
            <w:sz w:val="20"/>
            <w:szCs w:val="20"/>
            <w:u w:val="single"/>
            <w:rtl w:val="0"/>
          </w:rPr>
          <w:t xml:space="preserve">https://chavezfoundation.org/about-cesar-chavez/</w:t>
        </w:r>
      </w:hyperlink>
      <w:r w:rsidDel="00000000" w:rsidR="00000000" w:rsidRPr="00000000">
        <w:rPr>
          <w:rtl w:val="0"/>
        </w:rPr>
      </w:r>
    </w:p>
    <w:p w:rsidR="00000000" w:rsidDel="00000000" w:rsidP="00000000" w:rsidRDefault="00000000" w:rsidRPr="00000000" w14:paraId="00000046">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Dolores Huerta, </w:t>
      </w:r>
      <w:hyperlink r:id="rId14">
        <w:r w:rsidDel="00000000" w:rsidR="00000000" w:rsidRPr="00000000">
          <w:rPr>
            <w:rFonts w:ascii="Helvetica Neue Light" w:cs="Helvetica Neue Light" w:eastAsia="Helvetica Neue Light" w:hAnsi="Helvetica Neue Light"/>
            <w:color w:val="1155cc"/>
            <w:sz w:val="20"/>
            <w:szCs w:val="20"/>
            <w:u w:val="single"/>
            <w:rtl w:val="0"/>
          </w:rPr>
          <w:t xml:space="preserve">https://www.womenshistory.org/education-resources/biographies/dolores-huerta</w:t>
        </w:r>
      </w:hyperlink>
      <w:r w:rsidDel="00000000" w:rsidR="00000000" w:rsidRPr="00000000">
        <w:rPr>
          <w:rFonts w:ascii="Helvetica Neue Light" w:cs="Helvetica Neue Light" w:eastAsia="Helvetica Neue Light" w:hAnsi="Helvetica Neue Light"/>
          <w:sz w:val="20"/>
          <w:szCs w:val="20"/>
          <w:rtl w:val="0"/>
        </w:rPr>
        <w:t xml:space="preserve">, </w:t>
      </w:r>
      <w:hyperlink r:id="rId15">
        <w:r w:rsidDel="00000000" w:rsidR="00000000" w:rsidRPr="00000000">
          <w:rPr>
            <w:rFonts w:ascii="Helvetica Neue Light" w:cs="Helvetica Neue Light" w:eastAsia="Helvetica Neue Light" w:hAnsi="Helvetica Neue Light"/>
            <w:color w:val="1155cc"/>
            <w:sz w:val="20"/>
            <w:szCs w:val="20"/>
            <w:u w:val="single"/>
            <w:rtl w:val="0"/>
          </w:rPr>
          <w:t xml:space="preserve">https://doloreshuerta.org/dolores-huerta/</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7">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United Farm Workers, </w:t>
      </w:r>
      <w:hyperlink r:id="rId16">
        <w:r w:rsidDel="00000000" w:rsidR="00000000" w:rsidRPr="00000000">
          <w:rPr>
            <w:rFonts w:ascii="Helvetica Neue Light" w:cs="Helvetica Neue Light" w:eastAsia="Helvetica Neue Light" w:hAnsi="Helvetica Neue Light"/>
            <w:color w:val="1155cc"/>
            <w:sz w:val="20"/>
            <w:szCs w:val="20"/>
            <w:u w:val="single"/>
            <w:rtl w:val="0"/>
          </w:rPr>
          <w:t xml:space="preserve">https://ufw.org/</w:t>
        </w:r>
      </w:hyperlink>
      <w:r w:rsidDel="00000000" w:rsidR="00000000" w:rsidRPr="00000000">
        <w:rPr>
          <w:rFonts w:ascii="Helvetica Neue Light" w:cs="Helvetica Neue Light" w:eastAsia="Helvetica Neue Light" w:hAnsi="Helvetica Neue Light"/>
          <w:sz w:val="20"/>
          <w:szCs w:val="20"/>
          <w:rtl w:val="0"/>
        </w:rPr>
        <w:t xml:space="preserve"> </w:t>
      </w:r>
    </w:p>
    <w:p w:rsidR="00000000" w:rsidDel="00000000" w:rsidP="00000000" w:rsidRDefault="00000000" w:rsidRPr="00000000" w14:paraId="00000048">
      <w:pPr>
        <w:spacing w:after="0"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Voting Rights Act, Section 203, </w:t>
      </w:r>
      <w:hyperlink r:id="rId17">
        <w:r w:rsidDel="00000000" w:rsidR="00000000" w:rsidRPr="00000000">
          <w:rPr>
            <w:rFonts w:ascii="Helvetica Neue Light" w:cs="Helvetica Neue Light" w:eastAsia="Helvetica Neue Light" w:hAnsi="Helvetica Neue Light"/>
            <w:color w:val="1155cc"/>
            <w:sz w:val="20"/>
            <w:szCs w:val="20"/>
            <w:u w:val="single"/>
            <w:rtl w:val="0"/>
          </w:rPr>
          <w:t xml:space="preserve">https://www.justice.gov/crt/language-minority-citizens</w:t>
        </w:r>
      </w:hyperlink>
      <w:r w:rsidDel="00000000" w:rsidR="00000000" w:rsidRPr="00000000">
        <w:rPr>
          <w:rtl w:val="0"/>
        </w:rPr>
      </w:r>
    </w:p>
    <w:p w:rsidR="00000000" w:rsidDel="00000000" w:rsidP="00000000" w:rsidRDefault="00000000" w:rsidRPr="00000000" w14:paraId="00000049">
      <w:pPr>
        <w:spacing w:line="240" w:lineRule="auto"/>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p>
    <w:p w:rsidR="00000000" w:rsidDel="00000000" w:rsidP="00000000" w:rsidRDefault="00000000" w:rsidRPr="00000000" w14:paraId="0000004A">
      <w:pPr>
        <w:pStyle w:val="Heading2"/>
        <w:spacing w:after="0" w:line="240" w:lineRule="auto"/>
        <w:jc w:val="center"/>
        <w:rPr>
          <w:rFonts w:ascii="Times New Roman" w:cs="Times New Roman" w:eastAsia="Times New Roman" w:hAnsi="Times New Roman"/>
          <w:b w:val="1"/>
          <w:sz w:val="28"/>
          <w:szCs w:val="28"/>
        </w:rPr>
      </w:pPr>
      <w:bookmarkStart w:colFirst="0" w:colLast="0" w:name="_l9vmcz637xv2" w:id="2"/>
      <w:bookmarkEnd w:id="2"/>
      <w:r w:rsidDel="00000000" w:rsidR="00000000" w:rsidRPr="00000000">
        <w:br w:type="page"/>
      </w:r>
      <w:r w:rsidDel="00000000" w:rsidR="00000000" w:rsidRPr="00000000">
        <w:rPr>
          <w:rtl w:val="0"/>
        </w:rPr>
      </w:r>
    </w:p>
    <w:p w:rsidR="00000000" w:rsidDel="00000000" w:rsidP="00000000" w:rsidRDefault="00000000" w:rsidRPr="00000000" w14:paraId="0000004B">
      <w:pPr>
        <w:pStyle w:val="Heading2"/>
        <w:spacing w:after="0" w:line="240" w:lineRule="auto"/>
        <w:jc w:val="center"/>
        <w:rPr>
          <w:rFonts w:ascii="Helvetica Neue" w:cs="Helvetica Neue" w:eastAsia="Helvetica Neue" w:hAnsi="Helvetica Neue"/>
          <w:b w:val="1"/>
          <w:color w:val="1c2f4f"/>
        </w:rPr>
      </w:pPr>
      <w:bookmarkStart w:colFirst="0" w:colLast="0" w:name="_8235yrbrt9kd" w:id="3"/>
      <w:bookmarkEnd w:id="3"/>
      <w:r w:rsidDel="00000000" w:rsidR="00000000" w:rsidRPr="00000000">
        <w:rPr>
          <w:rFonts w:ascii="Helvetica Neue" w:cs="Helvetica Neue" w:eastAsia="Helvetica Neue" w:hAnsi="Helvetica Neue"/>
          <w:b w:val="1"/>
          <w:color w:val="1c2f4f"/>
          <w:rtl w:val="0"/>
        </w:rPr>
        <w:t xml:space="preserve">ACTIVITY SEQUENCE</w:t>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numPr>
                <w:ilvl w:val="0"/>
                <w:numId w:val="1"/>
              </w:numPr>
              <w:spacing w:line="240" w:lineRule="auto"/>
              <w:ind w:left="630" w:hanging="360"/>
              <w:rPr>
                <w:rFonts w:ascii="Helvetica Neue" w:cs="Helvetica Neue" w:eastAsia="Helvetica Neue" w:hAnsi="Helvetica Neue"/>
                <w:sz w:val="26"/>
                <w:szCs w:val="26"/>
              </w:rPr>
            </w:pPr>
            <w:r w:rsidDel="00000000" w:rsidR="00000000" w:rsidRPr="00000000">
              <w:rPr>
                <w:rFonts w:ascii="Helvetica Neue" w:cs="Helvetica Neue" w:eastAsia="Helvetica Neue" w:hAnsi="Helvetica Neue"/>
                <w:sz w:val="24"/>
                <w:szCs w:val="24"/>
                <w:rtl w:val="0"/>
              </w:rPr>
              <w:t xml:space="preserve">Begin this lesson </w:t>
            </w:r>
            <w:r w:rsidDel="00000000" w:rsidR="00000000" w:rsidRPr="00000000">
              <w:rPr>
                <w:rFonts w:ascii="Helvetica Neue" w:cs="Helvetica Neue" w:eastAsia="Helvetica Neue" w:hAnsi="Helvetica Neue"/>
                <w:sz w:val="24"/>
                <w:szCs w:val="24"/>
                <w:rtl w:val="0"/>
              </w:rPr>
              <w:t xml:space="preserve">by opening the</w:t>
            </w:r>
            <w:r w:rsidDel="00000000" w:rsidR="00000000" w:rsidRPr="00000000">
              <w:rPr>
                <w:rFonts w:ascii="Helvetica Neue" w:cs="Helvetica Neue" w:eastAsia="Helvetica Neue" w:hAnsi="Helvetica Neue"/>
                <w:sz w:val="24"/>
                <w:szCs w:val="24"/>
                <w:rtl w:val="0"/>
              </w:rPr>
              <w:t xml:space="preserve"> </w:t>
            </w:r>
            <w:hyperlink r:id="rId18">
              <w:r w:rsidDel="00000000" w:rsidR="00000000" w:rsidRPr="00000000">
                <w:rPr>
                  <w:rFonts w:ascii="Helvetica Neue" w:cs="Helvetica Neue" w:eastAsia="Helvetica Neue" w:hAnsi="Helvetica Neue"/>
                  <w:color w:val="ea222d"/>
                  <w:sz w:val="24"/>
                  <w:szCs w:val="24"/>
                  <w:u w:val="single"/>
                  <w:rtl w:val="0"/>
                </w:rPr>
                <w:t xml:space="preserve">Boycott Hook Slides</w:t>
              </w:r>
            </w:hyperlink>
            <w:r w:rsidDel="00000000" w:rsidR="00000000" w:rsidRPr="00000000">
              <w:rPr>
                <w:rFonts w:ascii="Helvetica Neue" w:cs="Helvetica Neue" w:eastAsia="Helvetica Neue" w:hAnsi="Helvetica Neue"/>
                <w:sz w:val="24"/>
                <w:szCs w:val="24"/>
                <w:rtl w:val="0"/>
              </w:rPr>
              <w:t xml:space="preserve">.</w:t>
            </w:r>
            <w:r w:rsidDel="00000000" w:rsidR="00000000" w:rsidRPr="00000000">
              <w:rPr>
                <w:rFonts w:ascii="Helvetica Neue" w:cs="Helvetica Neue" w:eastAsia="Helvetica Neue" w:hAnsi="Helvetica Neue"/>
                <w:sz w:val="24"/>
                <w:szCs w:val="24"/>
                <w:rtl w:val="0"/>
              </w:rPr>
              <w:t xml:space="preserve"> </w:t>
            </w:r>
            <w:r w:rsidDel="00000000" w:rsidR="00000000" w:rsidRPr="00000000">
              <w:rPr>
                <w:rtl w:val="0"/>
              </w:rPr>
            </w:r>
          </w:p>
          <w:p w:rsidR="00000000" w:rsidDel="00000000" w:rsidP="00000000" w:rsidRDefault="00000000" w:rsidRPr="00000000" w14:paraId="0000004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Go through the slides with students, pausing on slide 4 to lead the students through some discussion questions. </w:t>
            </w:r>
          </w:p>
          <w:p w:rsidR="00000000" w:rsidDel="00000000" w:rsidP="00000000" w:rsidRDefault="00000000" w:rsidRPr="00000000" w14:paraId="00000050">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Students will naturally find some difficulty/struggles with adhering to a boycott like this. The purpose is for students to understand how much planning and persistence must go into a successful boycott. </w:t>
            </w:r>
          </w:p>
          <w:p w:rsidR="00000000" w:rsidDel="00000000" w:rsidP="00000000" w:rsidRDefault="00000000" w:rsidRPr="00000000" w14:paraId="0000005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Go to slide 5, and remind students of the promises of the Declaration of Independence. Address the questions listed on the slide. </w:t>
            </w:r>
          </w:p>
          <w:p w:rsidR="00000000" w:rsidDel="00000000" w:rsidP="00000000" w:rsidRDefault="00000000" w:rsidRPr="00000000" w14:paraId="0000005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a boycott often precedes the </w:t>
            </w:r>
            <w:r w:rsidDel="00000000" w:rsidR="00000000" w:rsidRPr="00000000">
              <w:rPr>
                <w:rFonts w:ascii="Helvetica Neue" w:cs="Helvetica Neue" w:eastAsia="Helvetica Neue" w:hAnsi="Helvetica Neue"/>
                <w:sz w:val="24"/>
                <w:szCs w:val="24"/>
                <w:rtl w:val="0"/>
              </w:rPr>
              <w:t xml:space="preserve">right to revolution</w:t>
            </w:r>
            <w:r w:rsidDel="00000000" w:rsidR="00000000" w:rsidRPr="00000000">
              <w:rPr>
                <w:rFonts w:ascii="Helvetica Neue" w:cs="Helvetica Neue" w:eastAsia="Helvetica Neue" w:hAnsi="Helvetica Neue"/>
                <w:sz w:val="24"/>
                <w:szCs w:val="24"/>
                <w:rtl w:val="0"/>
              </w:rPr>
              <w:t xml:space="preserve">. When we think of the right to revolution, it doesn’t always mean war and total government abolishment. Our Founders took many actions (like boycotts) on the road to revolution to bring attention to violations of rights. Throughout history, many groups have had to take a stand and repeat those actions to secure the promises of the Declaration.</w:t>
            </w:r>
            <w:r w:rsidDel="00000000" w:rsidR="00000000" w:rsidRPr="00000000">
              <w:rPr>
                <w:rFonts w:ascii="Helvetica Neue" w:cs="Helvetica Neue" w:eastAsia="Helvetica Neue" w:hAnsi="Helvetica Neue"/>
                <w:sz w:val="24"/>
                <w:szCs w:val="24"/>
                <w:rtl w:val="0"/>
              </w:rPr>
              <w:t xml:space="preserve"> </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55">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This is an opportunity to drum up excitement as we lead up to the 250th celebration and draw our focus to a time when individuals were fighting for those promises outlined. Because October is Hispanic Heritage Month, the focus for this month will be on Hispanic and Latino Americans.</w:t>
            </w:r>
          </w:p>
          <w:p w:rsidR="00000000" w:rsidDel="00000000" w:rsidP="00000000" w:rsidRDefault="00000000" w:rsidRPr="00000000" w14:paraId="0000005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Using the</w:t>
            </w:r>
            <w:r w:rsidDel="00000000" w:rsidR="00000000" w:rsidRPr="00000000">
              <w:rPr>
                <w:rFonts w:ascii="Helvetica Neue" w:cs="Helvetica Neue" w:eastAsia="Helvetica Neue" w:hAnsi="Helvetica Neue"/>
                <w:color w:val="ff0000"/>
                <w:sz w:val="24"/>
                <w:szCs w:val="24"/>
                <w:rtl w:val="0"/>
              </w:rPr>
              <w:t xml:space="preserve"> </w:t>
            </w:r>
            <w:hyperlink r:id="rId19">
              <w:r w:rsidDel="00000000" w:rsidR="00000000" w:rsidRPr="00000000">
                <w:rPr>
                  <w:rFonts w:ascii="Helvetica Neue" w:cs="Helvetica Neue" w:eastAsia="Helvetica Neue" w:hAnsi="Helvetica Neue"/>
                  <w:color w:val="ea222d"/>
                  <w:sz w:val="24"/>
                  <w:szCs w:val="24"/>
                  <w:u w:val="single"/>
                  <w:rtl w:val="0"/>
                </w:rPr>
                <w:t xml:space="preserve">Primary Source Digital Unwrapping Slides</w:t>
              </w:r>
            </w:hyperlink>
            <w:r w:rsidDel="00000000" w:rsidR="00000000" w:rsidRPr="00000000">
              <w:rPr>
                <w:rFonts w:ascii="Helvetica Neue" w:cs="Helvetica Neue" w:eastAsia="Helvetica Neue" w:hAnsi="Helvetica Neue"/>
                <w:sz w:val="24"/>
                <w:szCs w:val="24"/>
                <w:rtl w:val="0"/>
              </w:rPr>
              <w:t xml:space="preserve">, reveal the primary source inside.</w:t>
            </w:r>
            <w:r w:rsidDel="00000000" w:rsidR="00000000" w:rsidRPr="00000000">
              <w:rPr>
                <w:rtl w:val="0"/>
              </w:rPr>
            </w:r>
          </w:p>
          <w:p w:rsidR="00000000" w:rsidDel="00000000" w:rsidP="00000000" w:rsidRDefault="00000000" w:rsidRPr="00000000" w14:paraId="00000057">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Click the link</w:t>
            </w:r>
            <w:r w:rsidDel="00000000" w:rsidR="00000000" w:rsidRPr="00000000">
              <w:rPr>
                <w:rFonts w:ascii="Helvetica Neue" w:cs="Helvetica Neue" w:eastAsia="Helvetica Neue" w:hAnsi="Helvetica Neue"/>
                <w:sz w:val="24"/>
                <w:szCs w:val="24"/>
                <w:rtl w:val="0"/>
              </w:rPr>
              <w:t xml:space="preserve"> to the video of </w:t>
            </w:r>
            <w:hyperlink r:id="rId20">
              <w:r w:rsidDel="00000000" w:rsidR="00000000" w:rsidRPr="00000000">
                <w:rPr>
                  <w:rFonts w:ascii="Helvetica Neue" w:cs="Helvetica Neue" w:eastAsia="Helvetica Neue" w:hAnsi="Helvetica Neue"/>
                  <w:color w:val="ff0000"/>
                  <w:sz w:val="24"/>
                  <w:szCs w:val="24"/>
                  <w:u w:val="single"/>
                  <w:rtl w:val="0"/>
                </w:rPr>
                <w:t xml:space="preserve">Dolores Huerta and the United Farm Workers</w:t>
              </w:r>
            </w:hyperlink>
            <w:r w:rsidDel="00000000" w:rsidR="00000000" w:rsidRPr="00000000">
              <w:rPr>
                <w:rFonts w:ascii="Helvetica Neue" w:cs="Helvetica Neue" w:eastAsia="Helvetica Neue" w:hAnsi="Helvetica Neue"/>
                <w:sz w:val="24"/>
                <w:szCs w:val="24"/>
                <w:rtl w:val="0"/>
              </w:rPr>
              <w:t xml:space="preserve"> from C-SPAN on the second slide. </w:t>
            </w:r>
            <w:r w:rsidDel="00000000" w:rsidR="00000000" w:rsidRPr="00000000">
              <w:rPr>
                <w:rtl w:val="0"/>
              </w:rPr>
            </w:r>
          </w:p>
          <w:p w:rsidR="00000000" w:rsidDel="00000000" w:rsidP="00000000" w:rsidRDefault="00000000" w:rsidRPr="00000000" w14:paraId="0000005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source is an interview with Dolores Huerta pertaining to the Delano Grape Strike. </w:t>
            </w:r>
          </w:p>
          <w:p w:rsidR="00000000" w:rsidDel="00000000" w:rsidP="00000000" w:rsidRDefault="00000000" w:rsidRPr="00000000" w14:paraId="00000059">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Pass out the</w:t>
            </w:r>
            <w:r w:rsidDel="00000000" w:rsidR="00000000" w:rsidRPr="00000000">
              <w:rPr>
                <w:rFonts w:ascii="Helvetica Neue" w:cs="Helvetica Neue" w:eastAsia="Helvetica Neue" w:hAnsi="Helvetica Neue"/>
                <w:color w:val="ff0000"/>
                <w:sz w:val="24"/>
                <w:szCs w:val="24"/>
                <w:rtl w:val="0"/>
              </w:rPr>
              <w:t xml:space="preserve"> </w:t>
            </w:r>
            <w:hyperlink r:id="rId21">
              <w:r w:rsidDel="00000000" w:rsidR="00000000" w:rsidRPr="00000000">
                <w:rPr>
                  <w:rFonts w:ascii="Helvetica Neue" w:cs="Helvetica Neue" w:eastAsia="Helvetica Neue" w:hAnsi="Helvetica Neue"/>
                  <w:color w:val="ea222d"/>
                  <w:sz w:val="24"/>
                  <w:szCs w:val="24"/>
                  <w:u w:val="single"/>
                  <w:rtl w:val="0"/>
                </w:rPr>
                <w:t xml:space="preserve">Civic Participation Chart</w:t>
              </w:r>
            </w:hyperlink>
            <w:r w:rsidDel="00000000" w:rsidR="00000000" w:rsidRPr="00000000">
              <w:rPr>
                <w:rFonts w:ascii="Helvetica Neue" w:cs="Helvetica Neue" w:eastAsia="Helvetica Neue" w:hAnsi="Helvetica Neue"/>
                <w:sz w:val="24"/>
                <w:szCs w:val="24"/>
                <w:rtl w:val="0"/>
              </w:rPr>
              <w:t xml:space="preserve">. Fill in the first row (Chicano Movement Boycott) together based on the information you learned from the video.</w:t>
            </w:r>
          </w:p>
          <w:p w:rsidR="00000000" w:rsidDel="00000000" w:rsidP="00000000" w:rsidRDefault="00000000" w:rsidRPr="00000000" w14:paraId="0000005A">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See the Teacher Background Information section above and the Sample Answers section below to help guide class discussion.</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the civic participation of colonists in the 1700s looked very similar to the civic participation of Hispanic and Latino Americans during the mid-1900s with the Chicano Movement. We will compare both groups as they worked toward bringing attention to their goals.</w:t>
            </w:r>
            <w:r w:rsidDel="00000000" w:rsidR="00000000" w:rsidRPr="00000000">
              <w:rPr>
                <w:rtl w:val="0"/>
              </w:rPr>
            </w:r>
          </w:p>
          <w:p w:rsidR="00000000" w:rsidDel="00000000" w:rsidP="00000000" w:rsidRDefault="00000000" w:rsidRPr="00000000" w14:paraId="0000005D">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Print or display the</w:t>
            </w:r>
            <w:r w:rsidDel="00000000" w:rsidR="00000000" w:rsidRPr="00000000">
              <w:rPr>
                <w:rFonts w:ascii="Helvetica Neue" w:cs="Helvetica Neue" w:eastAsia="Helvetica Neue" w:hAnsi="Helvetica Neue"/>
                <w:sz w:val="24"/>
                <w:szCs w:val="24"/>
                <w:rtl w:val="0"/>
              </w:rPr>
              <w:t xml:space="preserve"> </w:t>
            </w:r>
            <w:hyperlink r:id="rId22">
              <w:r w:rsidDel="00000000" w:rsidR="00000000" w:rsidRPr="00000000">
                <w:rPr>
                  <w:rFonts w:ascii="Helvetica Neue" w:cs="Helvetica Neue" w:eastAsia="Helvetica Neue" w:hAnsi="Helvetica Neue"/>
                  <w:color w:val="ea222d"/>
                  <w:sz w:val="24"/>
                  <w:szCs w:val="24"/>
                  <w:u w:val="single"/>
                  <w:rtl w:val="0"/>
                </w:rPr>
                <w:t xml:space="preserve">Civic Participation Placards</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ar</w:t>
            </w:r>
            <w:r w:rsidDel="00000000" w:rsidR="00000000" w:rsidRPr="00000000">
              <w:rPr>
                <w:rFonts w:ascii="Helvetica Neue" w:cs="Helvetica Neue" w:eastAsia="Helvetica Neue" w:hAnsi="Helvetica Neue"/>
                <w:sz w:val="24"/>
                <w:szCs w:val="24"/>
                <w:rtl w:val="0"/>
              </w:rPr>
              <w:t xml:space="preserve">ound the room for students to read and analyze.</w:t>
            </w:r>
            <w:r w:rsidDel="00000000" w:rsidR="00000000" w:rsidRPr="00000000">
              <w:rPr>
                <w:rtl w:val="0"/>
              </w:rPr>
            </w:r>
          </w:p>
          <w:p w:rsidR="00000000" w:rsidDel="00000000" w:rsidP="00000000" w:rsidRDefault="00000000" w:rsidRPr="00000000" w14:paraId="0000005E">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Divide the class into groups for a Gallery Walk activity.</w:t>
            </w:r>
          </w:p>
          <w:p w:rsidR="00000000" w:rsidDel="00000000" w:rsidP="00000000" w:rsidRDefault="00000000" w:rsidRPr="00000000" w14:paraId="0000005F">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Explain to students that in their groups, they will circulate to each placard. When at each placard, they will read the information, and then work together to complete the remaining boxes on their Civic Participation Chart.</w:t>
            </w:r>
          </w:p>
          <w:p w:rsidR="00000000" w:rsidDel="00000000" w:rsidP="00000000" w:rsidRDefault="00000000" w:rsidRPr="00000000" w14:paraId="00000060">
            <w:pPr>
              <w:spacing w:line="240" w:lineRule="auto"/>
              <w:ind w:left="0" w:firstLine="0"/>
              <w:rPr>
                <w:rFonts w:ascii="Times New Roman" w:cs="Times New Roman" w:eastAsia="Times New Roman" w:hAnsi="Times New Roman"/>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Depending on class size, multiples of each placard may be posted. Time allotted for each placard and method of transition between placards should be determined ahead of time.</w:t>
            </w:r>
            <w:r w:rsidDel="00000000" w:rsidR="00000000" w:rsidRPr="00000000">
              <w:rPr>
                <w:rtl w:val="0"/>
              </w:rPr>
            </w:r>
          </w:p>
          <w:p w:rsidR="00000000" w:rsidDel="00000000" w:rsidP="00000000" w:rsidRDefault="00000000" w:rsidRPr="00000000" w14:paraId="00000061">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When students are finished, have them come together and share how the colonists and Hispanic and Latino Americans during the Chicano Movement shared similar experiences.</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Display</w:t>
            </w:r>
            <w:r w:rsidDel="00000000" w:rsidR="00000000" w:rsidRPr="00000000">
              <w:rPr>
                <w:rFonts w:ascii="Helvetica Neue" w:cs="Helvetica Neue" w:eastAsia="Helvetica Neue" w:hAnsi="Helvetica Neue"/>
                <w:sz w:val="24"/>
                <w:szCs w:val="24"/>
                <w:rtl w:val="0"/>
              </w:rPr>
              <w:t xml:space="preserve"> </w:t>
            </w:r>
            <w:hyperlink r:id="rId23">
              <w:r w:rsidDel="00000000" w:rsidR="00000000" w:rsidRPr="00000000">
                <w:rPr>
                  <w:rFonts w:ascii="Helvetica Neue" w:cs="Helvetica Neue" w:eastAsia="Helvetica Neue" w:hAnsi="Helvetica Neue"/>
                  <w:color w:val="ea222d"/>
                  <w:sz w:val="24"/>
                  <w:szCs w:val="24"/>
                  <w:u w:val="single"/>
                  <w:rtl w:val="0"/>
                </w:rPr>
                <w:t xml:space="preserve">Senator Robert F. Kennedy's Statement on Cesar Chavez</w:t>
              </w:r>
            </w:hyperlink>
            <w:r w:rsidDel="00000000" w:rsidR="00000000" w:rsidRPr="00000000">
              <w:rPr>
                <w:rFonts w:ascii="Helvetica Neue" w:cs="Helvetica Neue" w:eastAsia="Helvetica Neue" w:hAnsi="Helvetica Neue"/>
                <w:sz w:val="24"/>
                <w:szCs w:val="24"/>
                <w:rtl w:val="0"/>
              </w:rPr>
              <w:t xml:space="preserve"> </w:t>
            </w:r>
            <w:r w:rsidDel="00000000" w:rsidR="00000000" w:rsidRPr="00000000">
              <w:rPr>
                <w:rFonts w:ascii="Helvetica Neue" w:cs="Helvetica Neue" w:eastAsia="Helvetica Neue" w:hAnsi="Helvetica Neue"/>
                <w:sz w:val="24"/>
                <w:szCs w:val="24"/>
                <w:rtl w:val="0"/>
              </w:rPr>
              <w:t xml:space="preserve">from the National Archives and read it together as a class. </w:t>
            </w:r>
          </w:p>
          <w:p w:rsidR="00000000" w:rsidDel="00000000" w:rsidP="00000000" w:rsidRDefault="00000000" w:rsidRPr="00000000" w14:paraId="0000006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students to craft a written response on the ways the government kept the promises of the Declaration in mind when responding to the Delano Grape Strike and the efforts put forth by Dolores Huerta and Cesar Chavez during the Chicano Movement.</w:t>
            </w:r>
            <w:r w:rsidDel="00000000" w:rsidR="00000000" w:rsidRPr="00000000">
              <w:rPr>
                <w:rtl w:val="0"/>
              </w:rPr>
            </w:r>
          </w:p>
          <w:p w:rsidR="00000000" w:rsidDel="00000000" w:rsidP="00000000" w:rsidRDefault="00000000" w:rsidRPr="00000000" w14:paraId="00000065">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Project or provide students the </w:t>
            </w:r>
            <w:hyperlink r:id="rId24">
              <w:r w:rsidDel="00000000" w:rsidR="00000000" w:rsidRPr="00000000">
                <w:rPr>
                  <w:rFonts w:ascii="Helvetica Neue" w:cs="Helvetica Neue" w:eastAsia="Helvetica Neue" w:hAnsi="Helvetica Neue"/>
                  <w:color w:val="ff0000"/>
                  <w:sz w:val="24"/>
                  <w:szCs w:val="24"/>
                  <w:u w:val="single"/>
                  <w:rtl w:val="0"/>
                </w:rPr>
                <w:t xml:space="preserve">Promises of the Declaration of Independence Handout</w:t>
              </w:r>
            </w:hyperlink>
            <w:r w:rsidDel="00000000" w:rsidR="00000000" w:rsidRPr="00000000">
              <w:rPr>
                <w:rFonts w:ascii="Helvetica Neue" w:cs="Helvetica Neue" w:eastAsia="Helvetica Neue" w:hAnsi="Helvetica Neue"/>
                <w:sz w:val="24"/>
                <w:szCs w:val="24"/>
                <w:rtl w:val="0"/>
              </w:rPr>
              <w:t xml:space="preserve"> if needed for support.</w:t>
            </w:r>
            <w:r w:rsidDel="00000000" w:rsidR="00000000" w:rsidRPr="00000000">
              <w:rPr>
                <w:rtl w:val="0"/>
              </w:rPr>
            </w:r>
          </w:p>
        </w:tc>
      </w:tr>
    </w:tbl>
    <w:p w:rsidR="00000000" w:rsidDel="00000000" w:rsidP="00000000" w:rsidRDefault="00000000" w:rsidRPr="00000000" w14:paraId="00000066">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4"/>
      <w:bookmarkEnd w:id="4"/>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pStyle w:val="Heading2"/>
        <w:spacing w:after="2.4" w:before="2.4" w:line="240" w:lineRule="auto"/>
        <w:jc w:val="left"/>
        <w:rPr>
          <w:rFonts w:ascii="Times New Roman" w:cs="Times New Roman" w:eastAsia="Times New Roman" w:hAnsi="Times New Roman"/>
          <w:b w:val="1"/>
          <w:sz w:val="28"/>
          <w:szCs w:val="28"/>
        </w:rPr>
      </w:pPr>
      <w:bookmarkStart w:colFirst="0" w:colLast="0" w:name="_6ldtlydgglrs" w:id="5"/>
      <w:bookmarkEnd w:id="5"/>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pStyle w:val="Heading2"/>
        <w:spacing w:after="2.4" w:before="2.4" w:line="240" w:lineRule="auto"/>
        <w:jc w:val="center"/>
        <w:rPr>
          <w:rFonts w:ascii="Times New Roman" w:cs="Times New Roman" w:eastAsia="Times New Roman" w:hAnsi="Times New Roman"/>
          <w:b w:val="1"/>
          <w:sz w:val="28"/>
          <w:szCs w:val="28"/>
        </w:rPr>
      </w:pPr>
      <w:bookmarkStart w:colFirst="0" w:colLast="0" w:name="_yqne7yyxzg38" w:id="6"/>
      <w:bookmarkEnd w:id="6"/>
      <w:r w:rsidDel="00000000" w:rsidR="00000000" w:rsidRPr="00000000">
        <w:br w:type="page"/>
      </w:r>
      <w:r w:rsidDel="00000000" w:rsidR="00000000" w:rsidRPr="00000000">
        <w:rPr>
          <w:rtl w:val="0"/>
        </w:rPr>
      </w:r>
    </w:p>
    <w:p w:rsidR="00000000" w:rsidDel="00000000" w:rsidP="00000000" w:rsidRDefault="00000000" w:rsidRPr="00000000" w14:paraId="0000006B">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6zbbqov7ccs2" w:id="7"/>
      <w:bookmarkEnd w:id="7"/>
      <w:r w:rsidDel="00000000" w:rsidR="00000000" w:rsidRPr="00000000">
        <w:rPr>
          <w:rFonts w:ascii="Helvetica Neue" w:cs="Helvetica Neue" w:eastAsia="Helvetica Neue" w:hAnsi="Helvetica Neue"/>
          <w:b w:val="1"/>
          <w:color w:val="ffffff"/>
          <w:sz w:val="28"/>
          <w:szCs w:val="28"/>
          <w:highlight w:val="white"/>
          <w:rtl w:val="0"/>
        </w:rPr>
        <w:t xml:space="preserve">ADDITIONAL RESOURCES AND SAMPLE ANSWERS </w:t>
      </w: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numPr>
                <w:ilvl w:val="0"/>
                <w:numId w:val="3"/>
              </w:numPr>
              <w:spacing w:after="0" w:before="0" w:line="240" w:lineRule="auto"/>
              <w:ind w:left="720" w:hanging="360"/>
              <w:rPr>
                <w:rFonts w:ascii="Helvetica Neue" w:cs="Helvetica Neue" w:eastAsia="Helvetica Neue" w:hAnsi="Helvetica Neue"/>
                <w:sz w:val="24"/>
                <w:szCs w:val="24"/>
                <w:u w:val="none"/>
              </w:rPr>
            </w:pPr>
            <w:hyperlink r:id="rId25">
              <w:r w:rsidDel="00000000" w:rsidR="00000000" w:rsidRPr="00000000">
                <w:rPr>
                  <w:rFonts w:ascii="Helvetica Neue" w:cs="Helvetica Neue" w:eastAsia="Helvetica Neue" w:hAnsi="Helvetica Neue"/>
                  <w:color w:val="1155cc"/>
                  <w:sz w:val="24"/>
                  <w:szCs w:val="24"/>
                  <w:u w:val="single"/>
                  <w:rtl w:val="0"/>
                </w:rPr>
                <w:t xml:space="preserve">Civic Participation Chart</w:t>
              </w:r>
            </w:hyperlink>
            <w:r w:rsidDel="00000000" w:rsidR="00000000" w:rsidRPr="00000000">
              <w:rPr>
                <w:rtl w:val="0"/>
              </w:rPr>
            </w:r>
          </w:p>
          <w:p w:rsidR="00000000" w:rsidDel="00000000" w:rsidP="00000000" w:rsidRDefault="00000000" w:rsidRPr="00000000" w14:paraId="0000006E">
            <w:pPr>
              <w:widowControl w:val="0"/>
              <w:numPr>
                <w:ilvl w:val="0"/>
                <w:numId w:val="3"/>
              </w:numPr>
              <w:spacing w:after="0" w:before="0" w:line="240" w:lineRule="auto"/>
              <w:ind w:left="720" w:hanging="360"/>
              <w:rPr>
                <w:rFonts w:ascii="Helvetica Neue" w:cs="Helvetica Neue" w:eastAsia="Helvetica Neue" w:hAnsi="Helvetica Neue"/>
                <w:sz w:val="24"/>
                <w:szCs w:val="24"/>
                <w:u w:val="none"/>
              </w:rPr>
            </w:pPr>
            <w:hyperlink r:id="rId26">
              <w:r w:rsidDel="00000000" w:rsidR="00000000" w:rsidRPr="00000000">
                <w:rPr>
                  <w:rFonts w:ascii="Helvetica Neue" w:cs="Helvetica Neue" w:eastAsia="Helvetica Neue" w:hAnsi="Helvetica Neue"/>
                  <w:color w:val="1155cc"/>
                  <w:sz w:val="24"/>
                  <w:szCs w:val="24"/>
                  <w:u w:val="single"/>
                  <w:rtl w:val="0"/>
                </w:rPr>
                <w:t xml:space="preserve">Written Response Rubric</w:t>
              </w:r>
            </w:hyperlink>
            <w:r w:rsidDel="00000000" w:rsidR="00000000" w:rsidRPr="00000000">
              <w:rPr>
                <w:rtl w:val="0"/>
              </w:rPr>
            </w:r>
          </w:p>
        </w:tc>
      </w:tr>
    </w:tbl>
    <w:p w:rsidR="00000000" w:rsidDel="00000000" w:rsidP="00000000" w:rsidRDefault="00000000" w:rsidRPr="00000000" w14:paraId="0000006F">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Helvetica Neue" w:cs="Helvetica Neue" w:eastAsia="Helvetica Neue" w:hAnsi="Helvetica Neue"/>
                <w:sz w:val="24"/>
                <w:szCs w:val="24"/>
              </w:rPr>
            </w:pPr>
            <w:hyperlink r:id="rId27">
              <w:r w:rsidDel="00000000" w:rsidR="00000000" w:rsidRPr="00000000">
                <w:rPr>
                  <w:rFonts w:ascii="Helvetica Neue" w:cs="Helvetica Neue" w:eastAsia="Helvetica Neue" w:hAnsi="Helvetica Neue"/>
                  <w:color w:val="1155cc"/>
                  <w:sz w:val="24"/>
                  <w:szCs w:val="24"/>
                  <w:u w:val="single"/>
                  <w:rtl w:val="0"/>
                </w:rPr>
                <w:t xml:space="preserve">Hispanic American History Resources from C-SPAN Classroom</w:t>
              </w:r>
            </w:hyperlink>
            <w:r w:rsidDel="00000000" w:rsidR="00000000" w:rsidRPr="00000000">
              <w:rPr>
                <w:rtl w:val="0"/>
              </w:rPr>
            </w:r>
          </w:p>
          <w:p w:rsidR="00000000" w:rsidDel="00000000" w:rsidP="00000000" w:rsidRDefault="00000000" w:rsidRPr="00000000" w14:paraId="00000072">
            <w:pPr>
              <w:widowControl w:val="0"/>
              <w:spacing w:line="240" w:lineRule="auto"/>
              <w:rPr>
                <w:rFonts w:ascii="Helvetica Neue" w:cs="Helvetica Neue" w:eastAsia="Helvetica Neue" w:hAnsi="Helvetica Neue"/>
                <w:sz w:val="24"/>
                <w:szCs w:val="24"/>
              </w:rPr>
            </w:pPr>
            <w:hyperlink r:id="rId28">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73">
            <w:pPr>
              <w:widowControl w:val="0"/>
              <w:spacing w:line="240" w:lineRule="auto"/>
              <w:rPr>
                <w:rFonts w:ascii="Helvetica Neue" w:cs="Helvetica Neue" w:eastAsia="Helvetica Neue" w:hAnsi="Helvetica Neue"/>
                <w:sz w:val="24"/>
                <w:szCs w:val="24"/>
              </w:rPr>
            </w:pPr>
            <w:hyperlink r:id="rId29">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tc>
      </w:tr>
    </w:tbl>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30"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77">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3"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c-span.org/classroom/document/?1361" TargetMode="External"/><Relationship Id="rId22" Type="http://schemas.openxmlformats.org/officeDocument/2006/relationships/hyperlink" Target="https://docs.google.com/presentation/d/1HJDGiiIC3GkBOQx7t1AIG9DUU2L_cP_aA-2bBbm3bv8/edit?usp=sharing" TargetMode="External"/><Relationship Id="rId21" Type="http://schemas.openxmlformats.org/officeDocument/2006/relationships/hyperlink" Target="https://docs.google.com/document/d/1oopq0WO1T12jkMOSfEUrx8E5yRvCQo-T6Cuiy3Su1Fo/edit?usp=sharing" TargetMode="External"/><Relationship Id="rId24" Type="http://schemas.openxmlformats.org/officeDocument/2006/relationships/hyperlink" Target="https://drive.google.com/file/d/1jrMIS_2RfehAmYox6VCfEPjS_wZ3LR0p/view?usp=drive_link" TargetMode="External"/><Relationship Id="rId23" Type="http://schemas.openxmlformats.org/officeDocument/2006/relationships/hyperlink" Target="https://docsteach.org/documents/document/rfk-statement-on-cesar-chavez"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26" Type="http://schemas.openxmlformats.org/officeDocument/2006/relationships/hyperlink" Target="https://docs.google.com/document/d/1CoFqLZH1g2yM1O7Xgqd-U36aHtE5sSbOxFi4-_GuiR4/edit?usp=sharing" TargetMode="External"/><Relationship Id="rId25" Type="http://schemas.openxmlformats.org/officeDocument/2006/relationships/hyperlink" Target="https://docs.google.com/document/d/1bSoS4QAECQLcQp76NlakIaw28IeNJGGAs6PwF9YfXMg/edit?usp=sharing" TargetMode="External"/><Relationship Id="rId28" Type="http://schemas.openxmlformats.org/officeDocument/2006/relationships/hyperlink" Target="http://floridacitizen.org" TargetMode="External"/><Relationship Id="rId27" Type="http://schemas.openxmlformats.org/officeDocument/2006/relationships/hyperlink" Target="https://sites.google.com/view/c-spanclassroom-featured/u-s-and-state-history/u-s-history#h.yt6mqp450tbw" TargetMode="External"/><Relationship Id="rId5" Type="http://schemas.openxmlformats.org/officeDocument/2006/relationships/styles" Target="styles.xml"/><Relationship Id="rId6" Type="http://schemas.openxmlformats.org/officeDocument/2006/relationships/header" Target="header1.xml"/><Relationship Id="rId29" Type="http://schemas.openxmlformats.org/officeDocument/2006/relationships/hyperlink" Target="https://www.archives.gov/education/lessons/worksheets" TargetMode="External"/><Relationship Id="rId7" Type="http://schemas.openxmlformats.org/officeDocument/2006/relationships/header" Target="header2.xml"/><Relationship Id="rId8" Type="http://schemas.openxmlformats.org/officeDocument/2006/relationships/footer" Target="footer1.xml"/><Relationship Id="rId30" Type="http://schemas.openxmlformats.org/officeDocument/2006/relationships/header" Target="header3.xml"/><Relationship Id="rId11" Type="http://schemas.openxmlformats.org/officeDocument/2006/relationships/image" Target="media/image2.png"/><Relationship Id="rId10" Type="http://schemas.openxmlformats.org/officeDocument/2006/relationships/image" Target="media/image1.png"/><Relationship Id="rId13" Type="http://schemas.openxmlformats.org/officeDocument/2006/relationships/hyperlink" Target="https://chavezfoundation.org/about-cesar-chavez/" TargetMode="External"/><Relationship Id="rId12" Type="http://schemas.openxmlformats.org/officeDocument/2006/relationships/hyperlink" Target="https://centerforindividualism.org/individualism-founding-fathers-part-1-liberty-limited-government/" TargetMode="External"/><Relationship Id="rId15" Type="http://schemas.openxmlformats.org/officeDocument/2006/relationships/hyperlink" Target="https://doloreshuerta.org/dolores-huerta/" TargetMode="External"/><Relationship Id="rId14" Type="http://schemas.openxmlformats.org/officeDocument/2006/relationships/hyperlink" Target="https://www.womenshistory.org/education-resources/biographies/dolores-huerta" TargetMode="External"/><Relationship Id="rId17" Type="http://schemas.openxmlformats.org/officeDocument/2006/relationships/hyperlink" Target="https://www.justice.gov/crt/language-minority-citizens" TargetMode="External"/><Relationship Id="rId16" Type="http://schemas.openxmlformats.org/officeDocument/2006/relationships/hyperlink" Target="https://ufw.org/" TargetMode="External"/><Relationship Id="rId19" Type="http://schemas.openxmlformats.org/officeDocument/2006/relationships/hyperlink" Target="https://docs.google.com/presentation/d/1Rbs6g2Dh6y5YRX52-zb9JnDWAkMiZRqmTX-GBIQAnfA/edit?usp=drive_link" TargetMode="External"/><Relationship Id="rId18" Type="http://schemas.openxmlformats.org/officeDocument/2006/relationships/hyperlink" Target="https://docs.google.com/presentation/d/1PnwvqqjGLnXgqdsJOiO_5NnZVbn7HQIDRmj4ccXHVGU/edit?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