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Helvetica Neue" w:cs="Helvetica Neue" w:eastAsia="Helvetica Neue" w:hAnsi="Helvetica Neue"/>
          <w:b w:val="1"/>
          <w:i w:val="1"/>
          <w:sz w:val="36"/>
          <w:szCs w:val="36"/>
        </w:rPr>
      </w:pPr>
      <w:r w:rsidDel="00000000" w:rsidR="00000000" w:rsidRPr="00000000">
        <w:rPr>
          <w:rFonts w:ascii="Helvetica Neue" w:cs="Helvetica Neue" w:eastAsia="Helvetica Neue" w:hAnsi="Helvetica Neue"/>
          <w:b w:val="1"/>
          <w:i w:val="1"/>
          <w:sz w:val="36"/>
          <w:szCs w:val="36"/>
          <w:rtl w:val="0"/>
        </w:rPr>
        <w:t xml:space="preserve">Continental Congress Military Commission for Marquis de Lafayette, July 31, 1777</w:t>
      </w:r>
    </w:p>
    <w:p w:rsidR="00000000" w:rsidDel="00000000" w:rsidP="00000000" w:rsidRDefault="00000000" w:rsidRPr="00000000" w14:paraId="00000002">
      <w:pPr>
        <w:jc w:val="center"/>
        <w:rPr>
          <w:rFonts w:ascii="Helvetica Neue" w:cs="Helvetica Neue" w:eastAsia="Helvetica Neue" w:hAnsi="Helvetica Neue"/>
          <w:b w:val="1"/>
          <w:i w:val="1"/>
          <w:sz w:val="36"/>
          <w:szCs w:val="36"/>
        </w:rPr>
      </w:pPr>
      <w:r w:rsidDel="00000000" w:rsidR="00000000" w:rsidRPr="00000000">
        <w:rPr>
          <w:rtl w:val="0"/>
        </w:rPr>
      </w:r>
    </w:p>
    <w:p w:rsidR="00000000" w:rsidDel="00000000" w:rsidP="00000000" w:rsidRDefault="00000000" w:rsidRPr="00000000" w14:paraId="00000003">
      <w:pPr>
        <w:spacing w:after="200" w:lineRule="auto"/>
        <w:rPr>
          <w:rFonts w:ascii="Helvetica Neue" w:cs="Helvetica Neue" w:eastAsia="Helvetica Neue" w:hAnsi="Helvetica Neue"/>
          <w:i w:val="1"/>
          <w:sz w:val="24"/>
          <w:szCs w:val="24"/>
          <w:highlight w:val="white"/>
        </w:rPr>
      </w:pPr>
      <w:r w:rsidDel="00000000" w:rsidR="00000000" w:rsidRPr="00000000">
        <w:rPr>
          <w:rFonts w:ascii="Helvetica Neue" w:cs="Helvetica Neue" w:eastAsia="Helvetica Neue" w:hAnsi="Helvetica Neue"/>
          <w:i w:val="1"/>
          <w:sz w:val="24"/>
          <w:szCs w:val="24"/>
          <w:highlight w:val="white"/>
          <w:rtl w:val="0"/>
        </w:rPr>
        <w:t xml:space="preserve">Whereas, the Marquis de la Fayette, out of his great zeal to the cause of liberty, in which the United States are engaged, has left his family and connexions, and, at his own expence, come over to offer his service to the United States, without pension or particular allowance, and is anxious to risque his life in our cause,” the legislation read, “Resolved, That his service be accepted . . . [and that he] have the rank and commission of major general in the army of the United States.</w:t>
      </w:r>
    </w:p>
    <w:p w:rsidR="00000000" w:rsidDel="00000000" w:rsidP="00000000" w:rsidRDefault="00000000" w:rsidRPr="00000000" w14:paraId="00000004">
      <w:pPr>
        <w:spacing w:after="200" w:lineRule="auto"/>
        <w:rPr>
          <w:rFonts w:ascii="Helvetica Neue" w:cs="Helvetica Neue" w:eastAsia="Helvetica Neue" w:hAnsi="Helvetica Neue"/>
          <w:i w:val="1"/>
          <w:sz w:val="24"/>
          <w:szCs w:val="24"/>
          <w:highlight w:val="white"/>
        </w:rPr>
      </w:pPr>
      <w:r w:rsidDel="00000000" w:rsidR="00000000" w:rsidRPr="00000000">
        <w:rPr>
          <w:rtl w:val="0"/>
        </w:rPr>
      </w:r>
    </w:p>
    <w:p w:rsidR="00000000" w:rsidDel="00000000" w:rsidP="00000000" w:rsidRDefault="00000000" w:rsidRPr="00000000" w14:paraId="00000005">
      <w:pPr>
        <w:spacing w:after="200" w:lineRule="auto"/>
        <w:jc w:val="center"/>
        <w:rPr>
          <w:rFonts w:ascii="Helvetica Neue" w:cs="Helvetica Neue" w:eastAsia="Helvetica Neue" w:hAnsi="Helvetica Neue"/>
          <w:i w:val="1"/>
          <w:sz w:val="24"/>
          <w:szCs w:val="24"/>
          <w:highlight w:val="white"/>
        </w:rPr>
      </w:pPr>
      <w:r w:rsidDel="00000000" w:rsidR="00000000" w:rsidRPr="00000000">
        <w:rPr>
          <w:rFonts w:ascii="Helvetica Neue" w:cs="Helvetica Neue" w:eastAsia="Helvetica Neue" w:hAnsi="Helvetica Neue"/>
          <w:i w:val="1"/>
          <w:sz w:val="24"/>
          <w:szCs w:val="24"/>
          <w:highlight w:val="white"/>
        </w:rPr>
        <w:drawing>
          <wp:inline distB="114300" distT="114300" distL="114300" distR="114300">
            <wp:extent cx="2262188" cy="1830979"/>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262188" cy="1830979"/>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spacing w:after="20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07">
      <w:pPr>
        <w:spacing w:after="20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08">
      <w:pPr>
        <w:spacing w:after="20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09">
      <w:pPr>
        <w:spacing w:after="20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0A">
      <w:pPr>
        <w:spacing w:after="20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0B">
      <w:pPr>
        <w:spacing w:after="20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0C">
      <w:pP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Sources: </w:t>
      </w:r>
      <w:hyperlink r:id="rId7">
        <w:r w:rsidDel="00000000" w:rsidR="00000000" w:rsidRPr="00000000">
          <w:rPr>
            <w:rFonts w:ascii="Helvetica Neue" w:cs="Helvetica Neue" w:eastAsia="Helvetica Neue" w:hAnsi="Helvetica Neue"/>
            <w:color w:val="1155cc"/>
            <w:sz w:val="18"/>
            <w:szCs w:val="18"/>
            <w:u w:val="single"/>
            <w:rtl w:val="0"/>
          </w:rPr>
          <w:t xml:space="preserve">https://history.house.gov/HistoricalHighlight/Detail/35573?current_search_qs=%3FPreviousSearch%3DSearch%252cAll%252cFalse%252cFalse%252cFalse%252cFalse%252cFalse%252c%252cmm%252fdd%252fyyyy%252cmm%252fdd%252fyyyy%252cDate%26CurrentPage%3D1%26SortOrder%3DDate%26Command%3D6</w:t>
        </w:r>
      </w:hyperlink>
      <w:r w:rsidDel="00000000" w:rsidR="00000000" w:rsidRPr="00000000">
        <w:rPr>
          <w:rFonts w:ascii="Helvetica Neue" w:cs="Helvetica Neue" w:eastAsia="Helvetica Neue" w:hAnsi="Helvetica Neue"/>
          <w:sz w:val="18"/>
          <w:szCs w:val="18"/>
          <w:rtl w:val="0"/>
        </w:rPr>
        <w:t xml:space="preserve"> and </w:t>
      </w:r>
      <w:hyperlink r:id="rId8">
        <w:r w:rsidDel="00000000" w:rsidR="00000000" w:rsidRPr="00000000">
          <w:rPr>
            <w:rFonts w:ascii="Helvetica Neue" w:cs="Helvetica Neue" w:eastAsia="Helvetica Neue" w:hAnsi="Helvetica Neue"/>
            <w:color w:val="1155cc"/>
            <w:sz w:val="18"/>
            <w:szCs w:val="18"/>
            <w:u w:val="single"/>
            <w:rtl w:val="0"/>
          </w:rPr>
          <w:t xml:space="preserve">https://www.battlefields.org/sites/default/files/styles/squarish/public/thumbnails/image/Marquis%20de%20Lafayette.jpg?h=c573f940&amp;itok=Ri6-5hW2</w:t>
        </w:r>
      </w:hyperlink>
      <w:r w:rsidDel="00000000" w:rsidR="00000000" w:rsidRPr="00000000">
        <w:rPr>
          <w:rFonts w:ascii="Helvetica Neue" w:cs="Helvetica Neue" w:eastAsia="Helvetica Neue" w:hAnsi="Helvetica Neue"/>
          <w:sz w:val="18"/>
          <w:szCs w:val="18"/>
          <w:rtl w:val="0"/>
        </w:rPr>
        <w:t xml:space="preserve"> </w:t>
      </w:r>
      <w:r w:rsidDel="00000000" w:rsidR="00000000" w:rsidRPr="00000000">
        <w:rPr>
          <w:rFonts w:ascii="Helvetica Neue" w:cs="Helvetica Neue" w:eastAsia="Helvetica Neue" w:hAnsi="Helvetica Neue"/>
          <w:sz w:val="18"/>
          <w:szCs w:val="18"/>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history.house.gov/HistoricalHighlight/Detail/35573?current_search_qs=%3FPreviousSearch%3DSearch%252cAll%252cFalse%252cFalse%252cFalse%252cFalse%252cFalse%252c%252cmm%252fdd%252fyyyy%252cmm%252fdd%252fyyyy%252cDate%26CurrentPage%3D1%26SortOrder%3DDate%26Command%3D6" TargetMode="External"/><Relationship Id="rId8" Type="http://schemas.openxmlformats.org/officeDocument/2006/relationships/hyperlink" Target="https://www.battlefields.org/sites/default/files/styles/squarish/public/thumbnails/image/Marquis%20de%20Lafayette.jpg?h=c573f940&amp;itok=Ri6-5hW2"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