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Helvetica Neue" w:cs="Helvetica Neue" w:eastAsia="Helvetica Neue" w:hAnsi="Helvetica Neue"/>
          <w:sz w:val="32"/>
          <w:szCs w:val="32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Directions: Use the provided primary sources and fill in the rows below. </w:t>
      </w:r>
      <w:r w:rsidDel="00000000" w:rsidR="00000000" w:rsidRPr="00000000">
        <w:rPr>
          <w:rtl w:val="0"/>
        </w:rPr>
      </w:r>
    </w:p>
    <w:tbl>
      <w:tblPr>
        <w:tblStyle w:val="Table1"/>
        <w:tblW w:w="1435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45"/>
        <w:gridCol w:w="4560"/>
        <w:gridCol w:w="3270"/>
        <w:gridCol w:w="3780"/>
        <w:tblGridChange w:id="0">
          <w:tblGrid>
            <w:gridCol w:w="2745"/>
            <w:gridCol w:w="4560"/>
            <w:gridCol w:w="3270"/>
            <w:gridCol w:w="378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8"/>
                <w:szCs w:val="28"/>
                <w:rtl w:val="0"/>
              </w:rPr>
              <w:t xml:space="preserve">Primary Source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8"/>
                <w:szCs w:val="28"/>
                <w:rtl w:val="0"/>
              </w:rPr>
              <w:t xml:space="preserve">Summarize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8"/>
                <w:szCs w:val="28"/>
                <w:rtl w:val="0"/>
              </w:rPr>
              <w:t xml:space="preserve">Impact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8"/>
                <w:szCs w:val="28"/>
                <w:rtl w:val="0"/>
              </w:rPr>
              <w:t xml:space="preserve">Explanation</w:t>
            </w:r>
          </w:p>
        </w:tc>
      </w:tr>
      <w:tr>
        <w:trPr>
          <w:cantSplit w:val="0"/>
          <w:tblHeader w:val="0"/>
        </w:trPr>
        <w:tc>
          <w:tcPr>
            <w:shd w:fill="99999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Summarize the central idea of the source in your own words.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Mark the impact(s) of the Declaration addressed in the source.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Helvetica Neue" w:cs="Helvetica Neue" w:eastAsia="Helvetica Neue" w:hAnsi="Helvetica Neue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i w:val="1"/>
                <w:sz w:val="20"/>
                <w:szCs w:val="20"/>
                <w:rtl w:val="0"/>
              </w:rPr>
              <w:t xml:space="preserve">Explain how the promises of the Declaration impacted Colonial Americans based on the source analyzed.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Letter from Abigail Adams to John Adams, March 31, 1776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  <w:rtl w:val="0"/>
              </w:rPr>
              <w:t xml:space="preserve">Abigail Adams urges John to remember the ladies when creating the new government.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Unity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Motivation for War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Sense of Identity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Citizens, not Subjects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Political Legitimacy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Helvetica Neue" w:cs="Helvetica Neue" w:eastAsia="Helvetica Neue" w:hAnsi="Helvetica Neue"/>
                <w:u w:val="no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International Recognition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  <w:rtl w:val="0"/>
              </w:rPr>
              <w:t xml:space="preserve">Many Colonial Americans were not “independent” or “citizens” during this initial quest for freedom. We still had a long way to go.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Letter from John Hancock to George Washington, July 9, 1776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  <w:rtl w:val="0"/>
              </w:rPr>
              <w:t xml:space="preserve">John Hancock writes to George Washington to share with the rest of the Army that the Patriots have officially declared independence from Great Britain.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Unity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Motivation for War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Sense of Identity</w:t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Citizens, not Subjects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Political legitimacy</w:t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International Recognition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  <w:rtl w:val="0"/>
              </w:rPr>
              <w:t xml:space="preserve">Those involved in the war would know that there is action taking place to justify the fighting.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Pulling Down the Statue of George III at Bowling Green. N.Y. July 9, 1776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  <w:rtl w:val="0"/>
              </w:rPr>
              <w:t xml:space="preserve">After news of the Declaration made its way to towns, colonists responded by destroying a statue of King George III.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Unity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Motivation for War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Sense of Identity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Citizens, not Subjects</w:t>
            </w:r>
          </w:p>
          <w:p w:rsidR="00000000" w:rsidDel="00000000" w:rsidP="00000000" w:rsidRDefault="00000000" w:rsidRPr="00000000" w14:paraId="00000022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Political legitimacy</w:t>
            </w:r>
          </w:p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International Recognition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  <w:rtl w:val="0"/>
              </w:rPr>
              <w:t xml:space="preserve">People are coming together to show their unity and desire for independence.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1"/>
                <w:sz w:val="24"/>
                <w:szCs w:val="24"/>
                <w:rtl w:val="0"/>
              </w:rPr>
              <w:t xml:space="preserve">Continental Congress Military Commission for Marquis de Lafayette, July 31, 1777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  <w:rtl w:val="0"/>
              </w:rPr>
              <w:t xml:space="preserve">Marquis de Lafayette sacrificed a great deal to join the U.S. army in their fight for independence from Great Britain.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Unity</w:t>
            </w:r>
          </w:p>
          <w:p w:rsidR="00000000" w:rsidDel="00000000" w:rsidP="00000000" w:rsidRDefault="00000000" w:rsidRPr="00000000" w14:paraId="00000028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Motivation for War</w:t>
            </w:r>
          </w:p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Sense of Identity</w:t>
            </w:r>
          </w:p>
          <w:p w:rsidR="00000000" w:rsidDel="00000000" w:rsidP="00000000" w:rsidRDefault="00000000" w:rsidRPr="00000000" w14:paraId="0000002A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Citizens, not Subjects</w:t>
            </w:r>
          </w:p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Political legitimacy</w:t>
            </w:r>
          </w:p>
          <w:p w:rsidR="00000000" w:rsidDel="00000000" w:rsidP="00000000" w:rsidRDefault="00000000" w:rsidRPr="00000000" w14:paraId="0000002C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International Recognition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sz w:val="24"/>
                <w:szCs w:val="24"/>
                <w:rtl w:val="0"/>
              </w:rPr>
              <w:t xml:space="preserve">It showed how serious things were on a global scale for Americans to be free when those from other countries were willing to lay down their own lives, wealth, and time to fight for independence.</w:t>
            </w:r>
          </w:p>
        </w:tc>
      </w:tr>
    </w:tbl>
    <w:p w:rsidR="00000000" w:rsidDel="00000000" w:rsidP="00000000" w:rsidRDefault="00000000" w:rsidRPr="00000000" w14:paraId="0000002E">
      <w:pPr>
        <w:jc w:val="center"/>
        <w:rPr>
          <w:rFonts w:ascii="Helvetica Neue" w:cs="Helvetica Neue" w:eastAsia="Helvetica Neue" w:hAnsi="Helvetica Neue"/>
          <w:sz w:val="32"/>
          <w:szCs w:val="32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line="240" w:lineRule="auto"/>
      <w:jc w:val="center"/>
      <w:rPr/>
    </w:pPr>
    <w:r w:rsidDel="00000000" w:rsidR="00000000" w:rsidRPr="00000000">
      <w:rPr>
        <w:rFonts w:ascii="Helvetica Neue" w:cs="Helvetica Neue" w:eastAsia="Helvetica Neue" w:hAnsi="Helvetica Neue"/>
        <w:b w:val="1"/>
        <w:color w:val="ff0000"/>
        <w:sz w:val="28"/>
        <w:szCs w:val="28"/>
        <w:rtl w:val="0"/>
      </w:rPr>
      <w:t xml:space="preserve">SAMPLE ANSWERS: </w:t>
    </w:r>
    <w:r w:rsidDel="00000000" w:rsidR="00000000" w:rsidRPr="00000000">
      <w:rPr>
        <w:rFonts w:ascii="Helvetica Neue" w:cs="Helvetica Neue" w:eastAsia="Helvetica Neue" w:hAnsi="Helvetica Neue"/>
        <w:b w:val="1"/>
        <w:sz w:val="28"/>
        <w:szCs w:val="28"/>
        <w:rtl w:val="0"/>
      </w:rPr>
      <w:t xml:space="preserve">Declaration’s Impact on Colonial Americans Graphic Organizer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