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Florida Civic Literacy Support Bellwork</w:t>
      </w:r>
    </w:p>
    <w:p w:rsidR="00000000" w:rsidDel="00000000" w:rsidP="00000000" w:rsidRDefault="00000000" w:rsidRPr="00000000" w14:paraId="00000002">
      <w:pPr>
        <w:spacing w:line="259" w:lineRule="auto"/>
        <w:jc w:val="center"/>
        <w:rPr>
          <w:rFonts w:ascii="Cambria" w:cs="Cambria" w:eastAsia="Cambria" w:hAnsi="Cambria"/>
          <w:i w:val="1"/>
          <w:sz w:val="28"/>
          <w:szCs w:val="28"/>
        </w:rPr>
      </w:pPr>
      <w:r w:rsidDel="00000000" w:rsidR="00000000" w:rsidRPr="00000000">
        <w:rPr>
          <w:rFonts w:ascii="Cambria" w:cs="Cambria" w:eastAsia="Cambria" w:hAnsi="Cambria"/>
          <w:i w:val="1"/>
          <w:sz w:val="28"/>
          <w:szCs w:val="28"/>
          <w:rtl w:val="0"/>
        </w:rPr>
        <w:t xml:space="preserve">USA PATRIOT Act (2001)</w:t>
      </w:r>
    </w:p>
    <w:p w:rsidR="00000000" w:rsidDel="00000000" w:rsidP="00000000" w:rsidRDefault="00000000" w:rsidRPr="00000000" w14:paraId="00000003">
      <w:pPr>
        <w:spacing w:line="259" w:lineRule="auto"/>
        <w:jc w:val="center"/>
        <w:rPr>
          <w:rFonts w:ascii="Cambria" w:cs="Cambria" w:eastAsia="Cambria" w:hAnsi="Cambria"/>
          <w:i w:val="1"/>
          <w:sz w:val="28"/>
          <w:szCs w:val="28"/>
        </w:rPr>
      </w:pPr>
      <w:r w:rsidDel="00000000" w:rsidR="00000000" w:rsidRPr="00000000">
        <w:rPr>
          <w:rtl w:val="0"/>
        </w:rPr>
      </w:r>
    </w:p>
    <w:p w:rsidR="00000000" w:rsidDel="00000000" w:rsidP="00000000" w:rsidRDefault="00000000" w:rsidRPr="00000000" w14:paraId="00000004">
      <w:pPr>
        <w:spacing w:line="259" w:lineRule="auto"/>
        <w:jc w:val="center"/>
        <w:rPr>
          <w:rFonts w:ascii="Cambria" w:cs="Cambria" w:eastAsia="Cambria" w:hAnsi="Cambria"/>
          <w:b w:val="1"/>
          <w:sz w:val="26"/>
          <w:szCs w:val="26"/>
        </w:rPr>
      </w:pPr>
      <w:r w:rsidDel="00000000" w:rsidR="00000000" w:rsidRPr="00000000">
        <w:rPr>
          <w:rFonts w:ascii="Cambria" w:cs="Cambria" w:eastAsia="Cambria" w:hAnsi="Cambria"/>
          <w:sz w:val="26"/>
          <w:szCs w:val="26"/>
          <w:rtl w:val="0"/>
        </w:rPr>
        <w:t xml:space="preserve">How does the USA PATRIOT Act (2001) impact the United States today?</w:t>
      </w:r>
      <w:r w:rsidDel="00000000" w:rsidR="00000000" w:rsidRPr="00000000">
        <w:rPr>
          <w:rtl w:val="0"/>
        </w:rPr>
      </w:r>
    </w:p>
    <w:p w:rsidR="00000000" w:rsidDel="00000000" w:rsidP="00000000" w:rsidRDefault="00000000" w:rsidRPr="00000000" w14:paraId="00000005">
      <w:pPr>
        <w:spacing w:line="259" w:lineRule="auto"/>
        <w:jc w:val="center"/>
        <w:rPr>
          <w:rFonts w:ascii="Cambria" w:cs="Cambria" w:eastAsia="Cambria" w:hAnsi="Cambria"/>
          <w:i w:val="1"/>
          <w:sz w:val="26"/>
          <w:szCs w:val="26"/>
        </w:rPr>
      </w:pPr>
      <w:r w:rsidDel="00000000" w:rsidR="00000000" w:rsidRPr="00000000">
        <w:rPr>
          <w:rFonts w:ascii="Cambria" w:cs="Cambria" w:eastAsia="Cambria" w:hAnsi="Cambria"/>
          <w:i w:val="1"/>
          <w:sz w:val="24"/>
          <w:szCs w:val="24"/>
          <w:rtl w:val="0"/>
        </w:rPr>
        <w:t xml:space="preserve">An Activity for High School Civic Literacy Competency #4 </w:t>
      </w:r>
      <w:r w:rsidDel="00000000" w:rsidR="00000000" w:rsidRPr="00000000">
        <w:rPr>
          <w:rFonts w:ascii="Cambria" w:cs="Cambria" w:eastAsia="Cambria" w:hAnsi="Cambria"/>
          <w:i w:val="1"/>
          <w:sz w:val="26"/>
          <w:szCs w:val="26"/>
          <w:rtl w:val="0"/>
        </w:rPr>
        <w:tab/>
      </w:r>
    </w:p>
    <w:p w:rsidR="00000000" w:rsidDel="00000000" w:rsidP="00000000" w:rsidRDefault="00000000" w:rsidRPr="00000000" w14:paraId="00000006">
      <w:pPr>
        <w:spacing w:line="259" w:lineRule="auto"/>
        <w:jc w:val="center"/>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07">
      <w:pPr>
        <w:spacing w:line="259" w:lineRule="auto"/>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Competency #4: </w:t>
      </w:r>
      <w:r w:rsidDel="00000000" w:rsidR="00000000" w:rsidRPr="00000000">
        <w:rPr>
          <w:rFonts w:ascii="Cambria" w:cs="Cambria" w:eastAsia="Cambria" w:hAnsi="Cambria"/>
          <w:i w:val="1"/>
          <w:sz w:val="24"/>
          <w:szCs w:val="24"/>
          <w:rtl w:val="0"/>
        </w:rPr>
        <w:t xml:space="preserve">Understanding of landmark Supreme Court cases, landmark legislation, and landmark executive actions and their impact on law and society</w:t>
      </w:r>
      <w:r w:rsidDel="00000000" w:rsidR="00000000" w:rsidRPr="00000000">
        <w:rPr>
          <w:rtl w:val="0"/>
        </w:rPr>
      </w:r>
    </w:p>
    <w:p w:rsidR="00000000" w:rsidDel="00000000" w:rsidP="00000000" w:rsidRDefault="00000000" w:rsidRPr="00000000" w14:paraId="00000008">
      <w:pPr>
        <w:spacing w:line="259" w:lineRule="auto"/>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09">
      <w:pPr>
        <w:spacing w:line="259"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Benchmark and Benchmark Clarification Correlations </w:t>
      </w:r>
    </w:p>
    <w:p w:rsidR="00000000" w:rsidDel="00000000" w:rsidP="00000000" w:rsidRDefault="00000000" w:rsidRPr="00000000" w14:paraId="0000000A">
      <w:pPr>
        <w:spacing w:line="259" w:lineRule="auto"/>
        <w:rPr>
          <w:rFonts w:ascii="Calibri" w:cs="Calibri" w:eastAsia="Calibri" w:hAnsi="Calibri"/>
        </w:rPr>
      </w:pPr>
      <w:bookmarkStart w:colFirst="0" w:colLast="0" w:name="_30j0zll" w:id="0"/>
      <w:bookmarkEnd w:id="0"/>
      <w:r w:rsidDel="00000000" w:rsidR="00000000" w:rsidRPr="00000000">
        <w:rPr>
          <w:rtl w:val="0"/>
        </w:rPr>
      </w:r>
    </w:p>
    <w:p w:rsidR="00000000" w:rsidDel="00000000" w:rsidP="00000000" w:rsidRDefault="00000000" w:rsidRPr="00000000" w14:paraId="0000000B">
      <w:pPr>
        <w:spacing w:line="259" w:lineRule="auto"/>
        <w:rPr>
          <w:rFonts w:ascii="Calibri" w:cs="Calibri" w:eastAsia="Calibri" w:hAnsi="Calibri"/>
        </w:rPr>
      </w:pPr>
      <w:r w:rsidDel="00000000" w:rsidR="00000000" w:rsidRPr="00000000">
        <w:rPr>
          <w:rFonts w:ascii="Calibri" w:cs="Calibri" w:eastAsia="Calibri" w:hAnsi="Calibri"/>
          <w:rtl w:val="0"/>
        </w:rPr>
        <w:t xml:space="preserve">SS.912.CG.2.6 Explain how the principles contained in foundational documents contributed to the expansion of civil rights and liberties over time. </w:t>
      </w:r>
    </w:p>
    <w:p w:rsidR="00000000" w:rsidDel="00000000" w:rsidP="00000000" w:rsidRDefault="00000000" w:rsidRPr="00000000" w14:paraId="0000000C">
      <w:pPr>
        <w:spacing w:line="259" w:lineRule="auto"/>
        <w:rPr>
          <w:rFonts w:ascii="Calibri" w:cs="Calibri" w:eastAsia="Calibri" w:hAnsi="Calibri"/>
          <w:i w:val="1"/>
        </w:rPr>
      </w:pPr>
      <w:r w:rsidDel="00000000" w:rsidR="00000000" w:rsidRPr="00000000">
        <w:rPr>
          <w:rFonts w:ascii="Calibri" w:cs="Calibri" w:eastAsia="Calibri" w:hAnsi="Calibri"/>
          <w:i w:val="1"/>
          <w:rtl w:val="0"/>
        </w:rPr>
        <w:t xml:space="preserve">* Students will explain how different groups of people (e.g., African Americans, immigrants, Native Americans, women) had their civil rights expanded through legislative action (e.g., Voting Rights Act, Civil Rights Act), executive action (e.g., Truman’s desegregation of the army, Lincoln’s Emancipation Proclamation) and the courts (e.g., Brown v. Board of Education; In re Gault). </w:t>
      </w:r>
    </w:p>
    <w:p w:rsidR="00000000" w:rsidDel="00000000" w:rsidP="00000000" w:rsidRDefault="00000000" w:rsidRPr="00000000" w14:paraId="0000000D">
      <w:pPr>
        <w:spacing w:line="259" w:lineRule="auto"/>
        <w:rPr>
          <w:rFonts w:ascii="Calibri" w:cs="Calibri" w:eastAsia="Calibri" w:hAnsi="Calibri"/>
          <w:i w:val="1"/>
        </w:rPr>
      </w:pPr>
      <w:r w:rsidDel="00000000" w:rsidR="00000000" w:rsidRPr="00000000">
        <w:rPr>
          <w:rFonts w:ascii="Calibri" w:cs="Calibri" w:eastAsia="Calibri" w:hAnsi="Calibri"/>
          <w:i w:val="1"/>
          <w:rtl w:val="0"/>
        </w:rPr>
        <w:t xml:space="preserve">*Students will explain the role founding documents, such as the Declaration of Independence and the Constitution, had on setting precedent for the future granting of rights.</w:t>
      </w:r>
    </w:p>
    <w:p w:rsidR="00000000" w:rsidDel="00000000" w:rsidP="00000000" w:rsidRDefault="00000000" w:rsidRPr="00000000" w14:paraId="0000000E">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59" w:lineRule="auto"/>
        <w:rPr>
          <w:rFonts w:ascii="Calibri" w:cs="Calibri" w:eastAsia="Calibri" w:hAnsi="Calibri"/>
        </w:rPr>
      </w:pPr>
      <w:r w:rsidDel="00000000" w:rsidR="00000000" w:rsidRPr="00000000">
        <w:rPr>
          <w:rFonts w:ascii="Calibri" w:cs="Calibri" w:eastAsia="Calibri" w:hAnsi="Calibri"/>
          <w:rtl w:val="0"/>
        </w:rPr>
        <w:t xml:space="preserve">SS.912.CG.2.4 Evaluate, take and defend objective, evidence-based positions on issues that cause the government to balance the interests of individuals with the public good. </w:t>
      </w:r>
    </w:p>
    <w:p w:rsidR="00000000" w:rsidDel="00000000" w:rsidP="00000000" w:rsidRDefault="00000000" w:rsidRPr="00000000" w14:paraId="00000010">
      <w:pPr>
        <w:spacing w:line="259" w:lineRule="auto"/>
        <w:rPr>
          <w:rFonts w:ascii="Calibri" w:cs="Calibri" w:eastAsia="Calibri" w:hAnsi="Calibri"/>
          <w:i w:val="1"/>
        </w:rPr>
      </w:pPr>
      <w:r w:rsidDel="00000000" w:rsidR="00000000" w:rsidRPr="00000000">
        <w:rPr>
          <w:rFonts w:ascii="Calibri" w:cs="Calibri" w:eastAsia="Calibri" w:hAnsi="Calibri"/>
          <w:i w:val="1"/>
          <w:rtl w:val="0"/>
        </w:rPr>
        <w:t xml:space="preserve">*Students will examine situations when individuals’ rights have been restricted for the public good (e.g., limits on speech or rationing of goods during wartime, enactment of the Patriot Act). </w:t>
      </w:r>
    </w:p>
    <w:p w:rsidR="00000000" w:rsidDel="00000000" w:rsidP="00000000" w:rsidRDefault="00000000" w:rsidRPr="00000000" w14:paraId="00000011">
      <w:pPr>
        <w:spacing w:line="259" w:lineRule="auto"/>
        <w:rPr>
          <w:rFonts w:ascii="Calibri" w:cs="Calibri" w:eastAsia="Calibri" w:hAnsi="Calibri"/>
          <w:i w:val="1"/>
        </w:rPr>
      </w:pPr>
      <w:r w:rsidDel="00000000" w:rsidR="00000000" w:rsidRPr="00000000">
        <w:rPr>
          <w:rFonts w:ascii="Calibri" w:cs="Calibri" w:eastAsia="Calibri" w:hAnsi="Calibri"/>
          <w:i w:val="1"/>
          <w:rtl w:val="0"/>
        </w:rPr>
        <w:t xml:space="preserve">*Students will analyze how environmental and financial policies place limitations on citizens and private industry for the public good. </w:t>
      </w:r>
    </w:p>
    <w:p w:rsidR="00000000" w:rsidDel="00000000" w:rsidP="00000000" w:rsidRDefault="00000000" w:rsidRPr="00000000" w14:paraId="00000012">
      <w:pPr>
        <w:spacing w:line="259" w:lineRule="auto"/>
        <w:rPr>
          <w:rFonts w:ascii="Calibri" w:cs="Calibri" w:eastAsia="Calibri" w:hAnsi="Calibri"/>
        </w:rPr>
      </w:pPr>
      <w:r w:rsidDel="00000000" w:rsidR="00000000" w:rsidRPr="00000000">
        <w:rPr>
          <w:rFonts w:ascii="Calibri" w:cs="Calibri" w:eastAsia="Calibri" w:hAnsi="Calibri"/>
          <w:i w:val="1"/>
          <w:rtl w:val="0"/>
        </w:rPr>
        <w:t xml:space="preserve">*Students will explain different services provided by local, state and national governments to citizens to ensure their rights are protected (e.g., social services, law enforcement, defense, emergency response)</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59" w:lineRule="auto"/>
        <w:rPr>
          <w:rFonts w:ascii="Calibri" w:cs="Calibri" w:eastAsia="Calibri" w:hAnsi="Calibri"/>
        </w:rPr>
      </w:pPr>
      <w:r w:rsidDel="00000000" w:rsidR="00000000" w:rsidRPr="00000000">
        <w:rPr>
          <w:rFonts w:ascii="Calibri" w:cs="Calibri" w:eastAsia="Calibri" w:hAnsi="Calibri"/>
          <w:rtl w:val="0"/>
        </w:rPr>
        <w:t xml:space="preserve">SS.912.CG.3.11 Evaluate how landmark Supreme Court decisions affect law, liberty and the interpretation of the U.S. Constitution. </w:t>
      </w:r>
    </w:p>
    <w:p w:rsidR="00000000" w:rsidDel="00000000" w:rsidP="00000000" w:rsidRDefault="00000000" w:rsidRPr="00000000" w14:paraId="00000015">
      <w:pPr>
        <w:spacing w:line="259" w:lineRule="auto"/>
        <w:rPr>
          <w:rFonts w:ascii="Calibri" w:cs="Calibri" w:eastAsia="Calibri" w:hAnsi="Calibri"/>
          <w:i w:val="1"/>
        </w:rPr>
      </w:pPr>
      <w:r w:rsidDel="00000000" w:rsidR="00000000" w:rsidRPr="00000000">
        <w:rPr>
          <w:rFonts w:ascii="Calibri" w:cs="Calibri" w:eastAsia="Calibri" w:hAnsi="Calibri"/>
          <w:i w:val="1"/>
          <w:rtl w:val="0"/>
        </w:rPr>
        <w:t xml:space="preserve">*Students will recognize landmark Supreme Court cases (e.g., Marbury v. Madison; McCulloch v. Maryland; Dred Scott v. Sandford; Plessy v. Ferguson; Brown v. Board of Education; Gideon v. Wainwright; Miranda v. Arizona; Korematsu v. United States; Mapp v. Ohio; In re Gault; United States v. Nixon; Regents of the University of California v. Bakke; Hazelwood v. Kuhlmeier; District of Columbia v. Heller). </w:t>
      </w:r>
    </w:p>
    <w:p w:rsidR="00000000" w:rsidDel="00000000" w:rsidP="00000000" w:rsidRDefault="00000000" w:rsidRPr="00000000" w14:paraId="00000016">
      <w:pPr>
        <w:spacing w:line="259" w:lineRule="auto"/>
        <w:rPr>
          <w:rFonts w:ascii="Calibri" w:cs="Calibri" w:eastAsia="Calibri" w:hAnsi="Calibri"/>
          <w:i w:val="1"/>
        </w:rPr>
      </w:pPr>
      <w:r w:rsidDel="00000000" w:rsidR="00000000" w:rsidRPr="00000000">
        <w:rPr>
          <w:rFonts w:ascii="Calibri" w:cs="Calibri" w:eastAsia="Calibri" w:hAnsi="Calibri"/>
          <w:i w:val="1"/>
          <w:rtl w:val="0"/>
        </w:rPr>
        <w:t xml:space="preserve">*Students will explain the foundational constitutional issues underlying landmark Supreme Court decisions related to the Bill of Rights and other amendments. </w:t>
      </w:r>
    </w:p>
    <w:p w:rsidR="00000000" w:rsidDel="00000000" w:rsidP="00000000" w:rsidRDefault="00000000" w:rsidRPr="00000000" w14:paraId="00000017">
      <w:pPr>
        <w:spacing w:line="259" w:lineRule="auto"/>
        <w:rPr>
          <w:rFonts w:ascii="Calibri" w:cs="Calibri" w:eastAsia="Calibri" w:hAnsi="Calibri"/>
          <w:i w:val="1"/>
        </w:rPr>
      </w:pPr>
      <w:r w:rsidDel="00000000" w:rsidR="00000000" w:rsidRPr="00000000">
        <w:rPr>
          <w:rFonts w:ascii="Calibri" w:cs="Calibri" w:eastAsia="Calibri" w:hAnsi="Calibri"/>
          <w:i w:val="1"/>
          <w:rtl w:val="0"/>
        </w:rPr>
        <w:t xml:space="preserve">*Students will explain the outcomes of landmark Supreme Court cases related to the Bill of Rights and other amendments.</w:t>
      </w:r>
    </w:p>
    <w:p w:rsidR="00000000" w:rsidDel="00000000" w:rsidP="00000000" w:rsidRDefault="00000000" w:rsidRPr="00000000" w14:paraId="00000018">
      <w:pPr>
        <w:spacing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59" w:lineRule="auto"/>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1A">
      <w:pPr>
        <w:spacing w:line="259" w:lineRule="auto"/>
        <w:rPr>
          <w:rFonts w:ascii="Cambria" w:cs="Cambria" w:eastAsia="Cambria" w:hAnsi="Cambria"/>
          <w:b w:val="1"/>
          <w:i w:val="1"/>
        </w:rPr>
      </w:pPr>
      <w:r w:rsidDel="00000000" w:rsidR="00000000" w:rsidRPr="00000000">
        <w:rPr>
          <w:rtl w:val="0"/>
        </w:rPr>
      </w:r>
    </w:p>
    <w:p w:rsidR="00000000" w:rsidDel="00000000" w:rsidP="00000000" w:rsidRDefault="00000000" w:rsidRPr="00000000" w14:paraId="0000001B">
      <w:pPr>
        <w:spacing w:line="259" w:lineRule="auto"/>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C">
      <w:pPr>
        <w:spacing w:line="259" w:lineRule="auto"/>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1D">
      <w:pPr>
        <w:spacing w:line="259" w:lineRule="auto"/>
        <w:rPr>
          <w:rFonts w:ascii="Cambria" w:cs="Cambria" w:eastAsia="Cambria" w:hAnsi="Cambria"/>
          <w:b w:val="1"/>
          <w:sz w:val="18"/>
          <w:szCs w:val="18"/>
        </w:rPr>
      </w:pPr>
      <w:r w:rsidDel="00000000" w:rsidR="00000000" w:rsidRPr="00000000">
        <w:rPr>
          <w:rFonts w:ascii="Cambria" w:cs="Cambria" w:eastAsia="Cambria" w:hAnsi="Cambria"/>
          <w:b w:val="1"/>
          <w:i w:val="1"/>
          <w:sz w:val="24"/>
          <w:szCs w:val="24"/>
          <w:rtl w:val="0"/>
        </w:rPr>
        <w:t xml:space="preserve">Activity Documents, Materials, and Handouts</w:t>
      </w:r>
      <w:r w:rsidDel="00000000" w:rsidR="00000000" w:rsidRPr="00000000">
        <w:rPr>
          <w:rtl w:val="0"/>
        </w:rPr>
      </w:r>
    </w:p>
    <w:p w:rsidR="00000000" w:rsidDel="00000000" w:rsidP="00000000" w:rsidRDefault="00000000" w:rsidRPr="00000000" w14:paraId="0000001E">
      <w:pPr>
        <w:spacing w:line="259" w:lineRule="auto"/>
        <w:rPr>
          <w:rFonts w:ascii="Cambria" w:cs="Cambria" w:eastAsia="Cambria" w:hAnsi="Cambria"/>
        </w:rPr>
      </w:pPr>
      <w:r w:rsidDel="00000000" w:rsidR="00000000" w:rsidRPr="00000000">
        <w:rPr>
          <w:rtl w:val="0"/>
        </w:rPr>
      </w:r>
    </w:p>
    <w:p w:rsidR="00000000" w:rsidDel="00000000" w:rsidP="00000000" w:rsidRDefault="00000000" w:rsidRPr="00000000" w14:paraId="0000001F">
      <w:pPr>
        <w:spacing w:line="259" w:lineRule="auto"/>
        <w:rPr>
          <w:rFonts w:ascii="Cambria" w:cs="Cambria" w:eastAsia="Cambria" w:hAnsi="Cambria"/>
        </w:rPr>
      </w:pPr>
      <w:r w:rsidDel="00000000" w:rsidR="00000000" w:rsidRPr="00000000">
        <w:rPr>
          <w:rFonts w:ascii="Cambria" w:cs="Cambria" w:eastAsia="Cambria" w:hAnsi="Cambria"/>
          <w:rtl w:val="0"/>
        </w:rPr>
        <w:t xml:space="preserve">Materials and resources are located in the bellwork steps. </w:t>
      </w:r>
    </w:p>
    <w:p w:rsidR="00000000" w:rsidDel="00000000" w:rsidP="00000000" w:rsidRDefault="00000000" w:rsidRPr="00000000" w14:paraId="00000020">
      <w:pPr>
        <w:spacing w:line="259" w:lineRule="auto"/>
        <w:rPr>
          <w:rFonts w:ascii="Cambria" w:cs="Cambria" w:eastAsia="Cambria" w:hAnsi="Cambria"/>
        </w:rPr>
      </w:pPr>
      <w:r w:rsidDel="00000000" w:rsidR="00000000" w:rsidRPr="00000000">
        <w:rPr>
          <w:rtl w:val="0"/>
        </w:rPr>
      </w:r>
    </w:p>
    <w:p w:rsidR="00000000" w:rsidDel="00000000" w:rsidP="00000000" w:rsidRDefault="00000000" w:rsidRPr="00000000" w14:paraId="00000021">
      <w:pPr>
        <w:spacing w:line="259"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Activity Vocabulary </w:t>
      </w:r>
    </w:p>
    <w:p w:rsidR="00000000" w:rsidDel="00000000" w:rsidP="00000000" w:rsidRDefault="00000000" w:rsidRPr="00000000" w14:paraId="00000022">
      <w:pPr>
        <w:spacing w:line="259" w:lineRule="auto"/>
        <w:rPr>
          <w:rFonts w:ascii="Cambria" w:cs="Cambria" w:eastAsia="Cambria" w:hAnsi="Cambria"/>
          <w:b w:val="1"/>
          <w:i w:val="1"/>
          <w:sz w:val="24"/>
          <w:szCs w:val="24"/>
        </w:rPr>
      </w:pP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510"/>
        <w:tblGridChange w:id="0">
          <w:tblGrid>
            <w:gridCol w:w="9510"/>
          </w:tblGrid>
        </w:tblGridChange>
      </w:tblGrid>
      <w:tr>
        <w:trPr>
          <w:cantSplit w:val="0"/>
          <w:trHeight w:val="503" w:hRule="atLeast"/>
          <w:tblHeader w:val="0"/>
        </w:trPr>
        <w:tc>
          <w:tcPr/>
          <w:p w:rsidR="00000000" w:rsidDel="00000000" w:rsidP="00000000" w:rsidRDefault="00000000" w:rsidRPr="00000000" w14:paraId="00000023">
            <w:pPr>
              <w:rPr>
                <w:rFonts w:ascii="Cambria" w:cs="Cambria" w:eastAsia="Cambria" w:hAnsi="Cambria"/>
                <w:sz w:val="18"/>
                <w:szCs w:val="18"/>
              </w:rPr>
            </w:pPr>
            <w:r w:rsidDel="00000000" w:rsidR="00000000" w:rsidRPr="00000000">
              <w:rPr>
                <w:rFonts w:ascii="Cambria" w:cs="Cambria" w:eastAsia="Cambria" w:hAnsi="Cambria"/>
                <w:b w:val="1"/>
                <w:rtl w:val="0"/>
              </w:rPr>
              <w:t xml:space="preserve">Patriot</w:t>
            </w:r>
            <w:r w:rsidDel="00000000" w:rsidR="00000000" w:rsidRPr="00000000">
              <w:rPr>
                <w:rFonts w:ascii="Cambria" w:cs="Cambria" w:eastAsia="Cambria" w:hAnsi="Cambria"/>
                <w:sz w:val="18"/>
                <w:szCs w:val="18"/>
                <w:rtl w:val="0"/>
              </w:rPr>
              <w:t xml:space="preserve">- a person who vigorously supports their country and is prepared to defend it against enemies or detractors.</w:t>
            </w:r>
          </w:p>
          <w:p w:rsidR="00000000" w:rsidDel="00000000" w:rsidP="00000000" w:rsidRDefault="00000000" w:rsidRPr="00000000" w14:paraId="00000024">
            <w:pPr>
              <w:rPr>
                <w:rFonts w:ascii="Cambria" w:cs="Cambria" w:eastAsia="Cambria" w:hAnsi="Cambria"/>
              </w:rPr>
            </w:pPr>
            <w:r w:rsidDel="00000000" w:rsidR="00000000" w:rsidRPr="00000000">
              <w:rPr>
                <w:rtl w:val="0"/>
              </w:rPr>
            </w:r>
          </w:p>
        </w:tc>
      </w:tr>
    </w:tbl>
    <w:p w:rsidR="00000000" w:rsidDel="00000000" w:rsidP="00000000" w:rsidRDefault="00000000" w:rsidRPr="00000000" w14:paraId="00000025">
      <w:pPr>
        <w:spacing w:line="259"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6">
      <w:pPr>
        <w:spacing w:line="259"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Teacher Note</w:t>
      </w:r>
    </w:p>
    <w:p w:rsidR="00000000" w:rsidDel="00000000" w:rsidP="00000000" w:rsidRDefault="00000000" w:rsidRPr="00000000" w14:paraId="00000027">
      <w:pPr>
        <w:spacing w:line="259" w:lineRule="auto"/>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28">
      <w:pPr>
        <w:spacing w:line="259" w:lineRule="auto"/>
        <w:rPr>
          <w:rFonts w:ascii="Cambria" w:cs="Cambria" w:eastAsia="Cambria" w:hAnsi="Cambria"/>
          <w:sz w:val="18"/>
          <w:szCs w:val="18"/>
        </w:rPr>
      </w:pPr>
      <w:r w:rsidDel="00000000" w:rsidR="00000000" w:rsidRPr="00000000">
        <w:rPr>
          <w:rFonts w:ascii="Cambria" w:cs="Cambria" w:eastAsia="Cambria" w:hAnsi="Cambria"/>
          <w:sz w:val="18"/>
          <w:szCs w:val="18"/>
          <w:rtl w:val="0"/>
        </w:rPr>
        <w:t xml:space="preserve">This topic can spark debate in the classroom. It is important to carefully facilitate these discussions.    Try not to exceed 15 min. to start the class.</w:t>
      </w:r>
    </w:p>
    <w:p w:rsidR="00000000" w:rsidDel="00000000" w:rsidP="00000000" w:rsidRDefault="00000000" w:rsidRPr="00000000" w14:paraId="00000029">
      <w:pPr>
        <w:spacing w:line="259" w:lineRule="auto"/>
        <w:rPr>
          <w:rFonts w:ascii="Cambria" w:cs="Cambria" w:eastAsia="Cambria" w:hAnsi="Cambria"/>
          <w:b w:val="1"/>
          <w:sz w:val="18"/>
          <w:szCs w:val="18"/>
        </w:rPr>
      </w:pPr>
      <w:r w:rsidDel="00000000" w:rsidR="00000000" w:rsidRPr="00000000">
        <w:rPr>
          <w:rtl w:val="0"/>
        </w:rPr>
      </w:r>
    </w:p>
    <w:p w:rsidR="00000000" w:rsidDel="00000000" w:rsidP="00000000" w:rsidRDefault="00000000" w:rsidRPr="00000000" w14:paraId="0000002A">
      <w:pPr>
        <w:spacing w:line="25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spacing w:after="160" w:line="259" w:lineRule="auto"/>
        <w:rPr>
          <w:rFonts w:ascii="Cambria" w:cs="Cambria" w:eastAsia="Cambria" w:hAnsi="Cambria"/>
          <w:b w:val="1"/>
          <w:sz w:val="12"/>
          <w:szCs w:val="12"/>
        </w:rPr>
      </w:pPr>
      <w:r w:rsidDel="00000000" w:rsidR="00000000" w:rsidRPr="00000000">
        <w:br w:type="page"/>
      </w:r>
      <w:r w:rsidDel="00000000" w:rsidR="00000000" w:rsidRPr="00000000">
        <w:rPr>
          <w:rtl w:val="0"/>
        </w:rPr>
      </w:r>
    </w:p>
    <w:p w:rsidR="00000000" w:rsidDel="00000000" w:rsidP="00000000" w:rsidRDefault="00000000" w:rsidRPr="00000000" w14:paraId="0000002C">
      <w:pPr>
        <w:spacing w:line="259" w:lineRule="auto"/>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Lesson Steps</w:t>
      </w:r>
    </w:p>
    <w:p w:rsidR="00000000" w:rsidDel="00000000" w:rsidP="00000000" w:rsidRDefault="00000000" w:rsidRPr="00000000" w14:paraId="0000002D">
      <w:pPr>
        <w:spacing w:after="160" w:line="259" w:lineRule="auto"/>
        <w:rPr>
          <w:rFonts w:ascii="Cambria" w:cs="Cambria" w:eastAsia="Cambria" w:hAnsi="Cambria"/>
          <w:b w:val="1"/>
          <w:sz w:val="12"/>
          <w:szCs w:val="12"/>
        </w:rPr>
      </w:pPr>
      <w:r w:rsidDel="00000000" w:rsidR="00000000" w:rsidRPr="00000000">
        <w:rPr>
          <w:rtl w:val="0"/>
        </w:rPr>
      </w:r>
    </w:p>
    <w:p w:rsidR="00000000" w:rsidDel="00000000" w:rsidP="00000000" w:rsidRDefault="00000000" w:rsidRPr="00000000" w14:paraId="0000002E">
      <w:pPr>
        <w:spacing w:after="160" w:line="259" w:lineRule="auto"/>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Bellwork: USA PATRIOT Act (2001)</w:t>
      </w:r>
    </w:p>
    <w:p w:rsidR="00000000" w:rsidDel="00000000" w:rsidP="00000000" w:rsidRDefault="00000000" w:rsidRPr="00000000" w14:paraId="0000002F">
      <w:pPr>
        <w:spacing w:after="160"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Step 1: Direct students to complete a sticky note answering what students think a patriot is.</w:t>
      </w:r>
    </w:p>
    <w:p w:rsidR="00000000" w:rsidDel="00000000" w:rsidP="00000000" w:rsidRDefault="00000000" w:rsidRPr="00000000" w14:paraId="00000030">
      <w:pPr>
        <w:spacing w:after="160"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Step 2: Pick two or three 2 or 3 notes and read them out loud</w:t>
      </w:r>
    </w:p>
    <w:p w:rsidR="00000000" w:rsidDel="00000000" w:rsidP="00000000" w:rsidRDefault="00000000" w:rsidRPr="00000000" w14:paraId="00000031">
      <w:pPr>
        <w:spacing w:after="160"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Step 3: Ask why none of them talked about surveillance </w:t>
      </w:r>
    </w:p>
    <w:p w:rsidR="00000000" w:rsidDel="00000000" w:rsidP="00000000" w:rsidRDefault="00000000" w:rsidRPr="00000000" w14:paraId="00000032">
      <w:pPr>
        <w:spacing w:after="160"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Step 4: Give a small explanation as to what the USA PATRIOT Act is</w:t>
      </w:r>
    </w:p>
    <w:p w:rsidR="00000000" w:rsidDel="00000000" w:rsidP="00000000" w:rsidRDefault="00000000" w:rsidRPr="00000000" w14:paraId="00000033">
      <w:pPr>
        <w:spacing w:after="160" w:line="259"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Step 5: Students watch video 🡪</w:t>
      </w:r>
    </w:p>
    <w:p w:rsidR="00000000" w:rsidDel="00000000" w:rsidP="00000000" w:rsidRDefault="00000000" w:rsidRPr="00000000" w14:paraId="00000034">
      <w:pPr>
        <w:spacing w:after="160" w:line="259" w:lineRule="auto"/>
        <w:rPr>
          <w:rFonts w:ascii="Cambria" w:cs="Cambria" w:eastAsia="Cambria" w:hAnsi="Cambria"/>
        </w:rPr>
      </w:pPr>
      <w:hyperlink r:id="rId6">
        <w:r w:rsidDel="00000000" w:rsidR="00000000" w:rsidRPr="00000000">
          <w:rPr>
            <w:rFonts w:ascii="Cambria" w:cs="Cambria" w:eastAsia="Cambria" w:hAnsi="Cambria"/>
            <w:color w:val="1155cc"/>
            <w:u w:val="single"/>
            <w:rtl w:val="0"/>
          </w:rPr>
          <w:t xml:space="preserve">Remembering 9/11: The lasting effects of the USA PATRIOT - YouTube</w:t>
        </w:r>
      </w:hyperlink>
      <w:r w:rsidDel="00000000" w:rsidR="00000000" w:rsidRPr="00000000">
        <w:rPr>
          <w:rtl w:val="0"/>
        </w:rPr>
      </w:r>
    </w:p>
    <w:p w:rsidR="00000000" w:rsidDel="00000000" w:rsidP="00000000" w:rsidRDefault="00000000" w:rsidRPr="00000000" w14:paraId="00000035">
      <w:pPr>
        <w:spacing w:after="160" w:line="259" w:lineRule="auto"/>
        <w:rPr>
          <w:rFonts w:ascii="Cambria" w:cs="Cambria" w:eastAsia="Cambria" w:hAnsi="Cambria"/>
        </w:rPr>
      </w:pPr>
      <w:r w:rsidDel="00000000" w:rsidR="00000000" w:rsidRPr="00000000">
        <w:rPr>
          <w:rFonts w:ascii="Cambria" w:cs="Cambria" w:eastAsia="Cambria" w:hAnsi="Cambria"/>
          <w:rtl w:val="0"/>
        </w:rPr>
        <w:t xml:space="preserve">And answer the following questions </w:t>
      </w:r>
    </w:p>
    <w:p w:rsidR="00000000" w:rsidDel="00000000" w:rsidP="00000000" w:rsidRDefault="00000000" w:rsidRPr="00000000" w14:paraId="00000036">
      <w:pPr>
        <w:numPr>
          <w:ilvl w:val="0"/>
          <w:numId w:val="1"/>
        </w:numPr>
        <w:spacing w:line="259" w:lineRule="auto"/>
        <w:ind w:left="1080" w:hanging="360"/>
        <w:rPr>
          <w:rFonts w:ascii="Cambria" w:cs="Cambria" w:eastAsia="Cambria" w:hAnsi="Cambria"/>
          <w:b w:val="1"/>
        </w:rPr>
      </w:pPr>
      <w:r w:rsidDel="00000000" w:rsidR="00000000" w:rsidRPr="00000000">
        <w:rPr>
          <w:rFonts w:ascii="Cambria" w:cs="Cambria" w:eastAsia="Cambria" w:hAnsi="Cambria"/>
          <w:highlight w:val="white"/>
          <w:rtl w:val="0"/>
        </w:rPr>
        <w:t xml:space="preserve">Why would U.S. citizens want limits on government surveillance from their own government?</w:t>
      </w:r>
      <w:r w:rsidDel="00000000" w:rsidR="00000000" w:rsidRPr="00000000">
        <w:rPr>
          <w:rtl w:val="0"/>
        </w:rPr>
      </w:r>
    </w:p>
    <w:p w:rsidR="00000000" w:rsidDel="00000000" w:rsidP="00000000" w:rsidRDefault="00000000" w:rsidRPr="00000000" w14:paraId="00000037">
      <w:pPr>
        <w:numPr>
          <w:ilvl w:val="0"/>
          <w:numId w:val="1"/>
        </w:numPr>
        <w:spacing w:after="160" w:line="259" w:lineRule="auto"/>
        <w:ind w:left="1080" w:hanging="360"/>
        <w:rPr>
          <w:rFonts w:ascii="Cambria" w:cs="Cambria" w:eastAsia="Cambria" w:hAnsi="Cambria"/>
          <w:b w:val="1"/>
        </w:rPr>
      </w:pPr>
      <w:r w:rsidDel="00000000" w:rsidR="00000000" w:rsidRPr="00000000">
        <w:rPr>
          <w:rFonts w:ascii="Cambria" w:cs="Cambria" w:eastAsia="Cambria" w:hAnsi="Cambria"/>
          <w:highlight w:val="white"/>
          <w:rtl w:val="0"/>
        </w:rPr>
        <w:t xml:space="preserve">How were the 9/11 attacks used to justify the enactment of the USA PATRIOT Act?</w:t>
      </w:r>
    </w:p>
    <w:p w:rsidR="00000000" w:rsidDel="00000000" w:rsidP="00000000" w:rsidRDefault="00000000" w:rsidRPr="00000000" w14:paraId="00000038">
      <w:pPr>
        <w:spacing w:after="160" w:line="259" w:lineRule="auto"/>
        <w:rPr>
          <w:rFonts w:ascii="Cambria" w:cs="Cambria" w:eastAsia="Cambria" w:hAnsi="Cambria"/>
          <w:highlight w:val="white"/>
        </w:rPr>
      </w:pPr>
      <w:r w:rsidDel="00000000" w:rsidR="00000000" w:rsidRPr="00000000">
        <w:rPr>
          <w:rFonts w:ascii="Cambria" w:cs="Cambria" w:eastAsia="Cambria" w:hAnsi="Cambria"/>
          <w:b w:val="1"/>
          <w:highlight w:val="white"/>
          <w:rtl w:val="0"/>
        </w:rPr>
        <w:t xml:space="preserve">Enrichment suggestion</w:t>
      </w:r>
      <w:r w:rsidDel="00000000" w:rsidR="00000000" w:rsidRPr="00000000">
        <w:rPr>
          <w:rFonts w:ascii="Cambria" w:cs="Cambria" w:eastAsia="Cambria" w:hAnsi="Cambria"/>
          <w:highlight w:val="white"/>
          <w:rtl w:val="0"/>
        </w:rPr>
        <w:t xml:space="preserve">:  </w:t>
      </w:r>
      <w:r w:rsidDel="00000000" w:rsidR="00000000" w:rsidRPr="00000000">
        <w:rPr>
          <w:rFonts w:ascii="Cambria" w:cs="Cambria" w:eastAsia="Cambria" w:hAnsi="Cambria"/>
          <w:sz w:val="24"/>
          <w:szCs w:val="24"/>
          <w:rtl w:val="0"/>
        </w:rPr>
        <w:t xml:space="preserve">–</w:t>
      </w:r>
      <w:hyperlink r:id="rId7">
        <w:r w:rsidDel="00000000" w:rsidR="00000000" w:rsidRPr="00000000">
          <w:rPr>
            <w:rFonts w:ascii="Cambria" w:cs="Cambria" w:eastAsia="Cambria" w:hAnsi="Cambria"/>
            <w:sz w:val="24"/>
            <w:szCs w:val="24"/>
            <w:rtl w:val="0"/>
          </w:rPr>
          <w:t xml:space="preserve">The USA PATRIOT Act-History Channel</w:t>
        </w:r>
      </w:hyperlink>
      <w:r w:rsidDel="00000000" w:rsidR="00000000" w:rsidRPr="00000000">
        <w:rPr>
          <w:rFonts w:ascii="Cambria" w:cs="Cambria" w:eastAsia="Cambria" w:hAnsi="Cambria"/>
          <w:highlight w:val="white"/>
          <w:rtl w:val="0"/>
        </w:rPr>
        <w:t xml:space="preserve"> (5.25 minute video)</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si=UKJjosBOMNh6IqlJ&amp;v=OoSu7qhAIIc&amp;feature=youtu.be" TargetMode="External"/><Relationship Id="rId7" Type="http://schemas.openxmlformats.org/officeDocument/2006/relationships/hyperlink" Target="https://www.youtube.com/watch?v=KP9VklrXP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