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47B49B" w14:textId="77777777" w:rsidR="009D5012" w:rsidRDefault="00DD3903">
      <w:pPr>
        <w:spacing w:after="0"/>
        <w:jc w:val="center"/>
        <w:rPr>
          <w:rFonts w:ascii="Cambria" w:eastAsia="Cambria" w:hAnsi="Cambria" w:cs="Cambria"/>
          <w:i/>
          <w:sz w:val="28"/>
          <w:szCs w:val="28"/>
        </w:rPr>
      </w:pPr>
      <w:r>
        <w:rPr>
          <w:rFonts w:ascii="Cambria" w:eastAsia="Cambria" w:hAnsi="Cambria" w:cs="Cambria"/>
          <w:i/>
          <w:sz w:val="28"/>
          <w:szCs w:val="28"/>
        </w:rPr>
        <w:t>Florida Civic Literacy Support Lesson</w:t>
      </w:r>
    </w:p>
    <w:p w14:paraId="2147B49C" w14:textId="77777777" w:rsidR="009D5012" w:rsidRDefault="00DD3903">
      <w:pPr>
        <w:spacing w:after="0"/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U.S. Constitution Clauses DBQ</w:t>
      </w:r>
    </w:p>
    <w:p w14:paraId="2147B49D" w14:textId="77777777" w:rsidR="009D5012" w:rsidRDefault="00DD3903">
      <w:pPr>
        <w:spacing w:after="0"/>
        <w:jc w:val="center"/>
        <w:rPr>
          <w:rFonts w:ascii="Cambria" w:eastAsia="Cambria" w:hAnsi="Cambria" w:cs="Cambria"/>
          <w:b/>
          <w:sz w:val="26"/>
          <w:szCs w:val="26"/>
        </w:rPr>
      </w:pPr>
      <w:r>
        <w:rPr>
          <w:rFonts w:ascii="Cambria" w:eastAsia="Cambria" w:hAnsi="Cambria" w:cs="Cambria"/>
          <w:sz w:val="26"/>
          <w:szCs w:val="26"/>
        </w:rPr>
        <w:t>How have clauses of the U.S. Constitution been interpreted and applied over time?</w:t>
      </w:r>
    </w:p>
    <w:p w14:paraId="2147B49E" w14:textId="77777777" w:rsidR="009D5012" w:rsidRDefault="00DD3903">
      <w:pPr>
        <w:spacing w:after="0"/>
        <w:jc w:val="center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 xml:space="preserve">An Activity for High School Civic Literacy </w:t>
      </w:r>
    </w:p>
    <w:p w14:paraId="2147B49F" w14:textId="77777777" w:rsidR="009D5012" w:rsidRDefault="00DD3903">
      <w:pPr>
        <w:spacing w:after="0"/>
        <w:jc w:val="center"/>
        <w:rPr>
          <w:rFonts w:ascii="Cambria" w:eastAsia="Cambria" w:hAnsi="Cambria" w:cs="Cambria"/>
          <w:i/>
          <w:sz w:val="24"/>
          <w:szCs w:val="24"/>
        </w:rPr>
      </w:pPr>
      <w:bookmarkStart w:id="0" w:name="_heading=h.gjdgxs" w:colFirst="0" w:colLast="0"/>
      <w:bookmarkEnd w:id="0"/>
      <w:r>
        <w:rPr>
          <w:rFonts w:ascii="Cambria" w:eastAsia="Cambria" w:hAnsi="Cambria" w:cs="Cambria"/>
          <w:i/>
          <w:sz w:val="24"/>
          <w:szCs w:val="24"/>
        </w:rPr>
        <w:t>Competency #2: An understanding of the United States Constitution and its application.</w:t>
      </w:r>
    </w:p>
    <w:p w14:paraId="2147B4A0" w14:textId="77777777" w:rsidR="009D5012" w:rsidRDefault="009D5012">
      <w:pPr>
        <w:spacing w:after="0"/>
        <w:rPr>
          <w:rFonts w:ascii="Cambria" w:eastAsia="Cambria" w:hAnsi="Cambria" w:cs="Cambria"/>
          <w:b/>
          <w:sz w:val="18"/>
          <w:szCs w:val="18"/>
        </w:rPr>
      </w:pPr>
    </w:p>
    <w:p w14:paraId="2147B4A1" w14:textId="77777777" w:rsidR="009D5012" w:rsidRDefault="00DD3903">
      <w:pPr>
        <w:spacing w:after="0"/>
        <w:rPr>
          <w:rFonts w:ascii="Cambria" w:eastAsia="Cambria" w:hAnsi="Cambria" w:cs="Cambria"/>
          <w:b/>
          <w:i/>
          <w:sz w:val="24"/>
          <w:szCs w:val="24"/>
        </w:rPr>
      </w:pPr>
      <w:r>
        <w:rPr>
          <w:rFonts w:ascii="Cambria" w:eastAsia="Cambria" w:hAnsi="Cambria" w:cs="Cambria"/>
          <w:b/>
          <w:i/>
          <w:sz w:val="24"/>
          <w:szCs w:val="24"/>
        </w:rPr>
        <w:t xml:space="preserve">Benchmark and Benchmark Clarification Correlations </w:t>
      </w:r>
    </w:p>
    <w:p w14:paraId="2147B4A2" w14:textId="77777777" w:rsidR="009D5012" w:rsidRDefault="009D5012">
      <w:pPr>
        <w:spacing w:after="0"/>
        <w:rPr>
          <w:rFonts w:ascii="Cambria" w:eastAsia="Cambria" w:hAnsi="Cambria" w:cs="Cambria"/>
          <w:b/>
          <w:i/>
          <w:sz w:val="24"/>
          <w:szCs w:val="24"/>
        </w:rPr>
      </w:pPr>
    </w:p>
    <w:p w14:paraId="2147B4A3" w14:textId="77777777" w:rsidR="009D5012" w:rsidRDefault="00DD3903">
      <w:pPr>
        <w:tabs>
          <w:tab w:val="left" w:pos="1859"/>
        </w:tabs>
        <w:spacing w:after="0"/>
        <w:rPr>
          <w:rFonts w:ascii="Cambria" w:eastAsia="Cambria" w:hAnsi="Cambria" w:cs="Cambria"/>
          <w:i/>
          <w:sz w:val="20"/>
          <w:szCs w:val="20"/>
        </w:rPr>
      </w:pPr>
      <w:bookmarkStart w:id="1" w:name="_heading=h.30j0zll" w:colFirst="0" w:colLast="0"/>
      <w:bookmarkEnd w:id="1"/>
      <w:r>
        <w:rPr>
          <w:rFonts w:ascii="Cambria" w:eastAsia="Cambria" w:hAnsi="Cambria" w:cs="Cambria"/>
          <w:i/>
          <w:sz w:val="20"/>
          <w:szCs w:val="20"/>
        </w:rPr>
        <w:t>SS.912.CG.3.3: Analyze the structures, functions and processes of the legislative branch as described in Article I of the U.S. Constitution.</w:t>
      </w:r>
    </w:p>
    <w:p w14:paraId="2147B4A4" w14:textId="77777777" w:rsidR="009D5012" w:rsidRDefault="009D5012">
      <w:pPr>
        <w:tabs>
          <w:tab w:val="left" w:pos="1859"/>
        </w:tabs>
        <w:spacing w:after="0"/>
        <w:rPr>
          <w:rFonts w:ascii="Cambria" w:eastAsia="Cambria" w:hAnsi="Cambria" w:cs="Cambria"/>
          <w:i/>
          <w:sz w:val="20"/>
          <w:szCs w:val="20"/>
        </w:rPr>
      </w:pPr>
      <w:bookmarkStart w:id="2" w:name="_heading=h.k6mj0l3irjom" w:colFirst="0" w:colLast="0"/>
      <w:bookmarkEnd w:id="2"/>
    </w:p>
    <w:p w14:paraId="2147B4A5" w14:textId="77777777" w:rsidR="009D5012" w:rsidRDefault="00DD3903">
      <w:pPr>
        <w:tabs>
          <w:tab w:val="left" w:pos="1859"/>
        </w:tabs>
        <w:spacing w:after="0"/>
        <w:rPr>
          <w:rFonts w:ascii="Cambria" w:eastAsia="Cambria" w:hAnsi="Cambria" w:cs="Cambria"/>
          <w:i/>
          <w:sz w:val="20"/>
          <w:szCs w:val="20"/>
        </w:rPr>
      </w:pPr>
      <w:bookmarkStart w:id="3" w:name="_heading=h.4uyoc17ydlog" w:colFirst="0" w:colLast="0"/>
      <w:bookmarkEnd w:id="3"/>
      <w:r>
        <w:rPr>
          <w:rFonts w:ascii="Cambria" w:eastAsia="Cambria" w:hAnsi="Cambria" w:cs="Cambria"/>
          <w:i/>
          <w:sz w:val="20"/>
          <w:szCs w:val="20"/>
        </w:rPr>
        <w:t xml:space="preserve"> *Students will explain why Article I of the U.S. Constitution established a bicameral legislative body and how the House of Representatives functions differently from the Senate. *Students will identify the methods for determining the number of members in the House of Representatives and the Senate. *Students will identify and describe the “enumerated powers” delegated to Congress (e.g., assess taxes, borrow money, declare war, make laws). *Students will analyze the role of the legislative branch in terms </w:t>
      </w:r>
      <w:r>
        <w:rPr>
          <w:rFonts w:ascii="Cambria" w:eastAsia="Cambria" w:hAnsi="Cambria" w:cs="Cambria"/>
          <w:i/>
          <w:sz w:val="20"/>
          <w:szCs w:val="20"/>
        </w:rPr>
        <w:t>of its relationship with the judicial and executive branch of the government. *Students will describe constitutional amendments that changed the role of Congress from its original description in Article I of the U.S. Constitution (i.e., 10th, 14th, 16th, 17th and 27th Amendments).</w:t>
      </w:r>
    </w:p>
    <w:p w14:paraId="2147B4A6" w14:textId="77777777" w:rsidR="009D5012" w:rsidRDefault="009D5012">
      <w:pPr>
        <w:spacing w:after="0"/>
        <w:rPr>
          <w:rFonts w:ascii="Cambria" w:eastAsia="Cambria" w:hAnsi="Cambria" w:cs="Cambria"/>
          <w:b/>
          <w:sz w:val="20"/>
          <w:szCs w:val="20"/>
        </w:rPr>
      </w:pPr>
    </w:p>
    <w:p w14:paraId="2147B4A7" w14:textId="77777777" w:rsidR="009D5012" w:rsidRDefault="00DD3903">
      <w:pPr>
        <w:spacing w:after="0"/>
        <w:rPr>
          <w:rFonts w:ascii="Cambria" w:eastAsia="Cambria" w:hAnsi="Cambria" w:cs="Cambria"/>
          <w:i/>
          <w:sz w:val="20"/>
          <w:szCs w:val="20"/>
        </w:rPr>
      </w:pPr>
      <w:r>
        <w:rPr>
          <w:rFonts w:ascii="Cambria" w:eastAsia="Cambria" w:hAnsi="Cambria" w:cs="Cambria"/>
          <w:i/>
          <w:sz w:val="20"/>
          <w:szCs w:val="20"/>
        </w:rPr>
        <w:t xml:space="preserve">SS.912.CG.3.6: Explain expressed, implied, concurrent and reserved powers in the U.S. Constitution. </w:t>
      </w:r>
    </w:p>
    <w:p w14:paraId="2147B4A8" w14:textId="77777777" w:rsidR="009D5012" w:rsidRDefault="009D5012">
      <w:pPr>
        <w:spacing w:after="0"/>
        <w:rPr>
          <w:rFonts w:ascii="Cambria" w:eastAsia="Cambria" w:hAnsi="Cambria" w:cs="Cambria"/>
          <w:i/>
          <w:sz w:val="20"/>
          <w:szCs w:val="20"/>
        </w:rPr>
      </w:pPr>
    </w:p>
    <w:p w14:paraId="2147B4A9" w14:textId="77777777" w:rsidR="009D5012" w:rsidRDefault="00DD3903">
      <w:pPr>
        <w:spacing w:after="0"/>
        <w:rPr>
          <w:rFonts w:ascii="Cambria" w:eastAsia="Cambria" w:hAnsi="Cambria" w:cs="Cambria"/>
          <w:i/>
          <w:sz w:val="20"/>
          <w:szCs w:val="20"/>
        </w:rPr>
      </w:pPr>
      <w:r>
        <w:rPr>
          <w:rFonts w:ascii="Cambria" w:eastAsia="Cambria" w:hAnsi="Cambria" w:cs="Cambria"/>
          <w:i/>
          <w:sz w:val="20"/>
          <w:szCs w:val="20"/>
        </w:rPr>
        <w:t>*Students will identify powers that are expressed in the U.S. Constitution to Congress (e.g., coin money, declare war, assess taxes, citizenship). *Students will identify that expressed powers are also known as enumerated powers found in Article I of the U.S. Constitution.  *Students will analyze the role of the “general welfare clause” and “necessary and proper clause” in granting Congress implied powers. *Students will describe examples of concurrent powers as those powers shared by both state and nationa</w:t>
      </w:r>
      <w:r>
        <w:rPr>
          <w:rFonts w:ascii="Cambria" w:eastAsia="Cambria" w:hAnsi="Cambria" w:cs="Cambria"/>
          <w:i/>
          <w:sz w:val="20"/>
          <w:szCs w:val="20"/>
        </w:rPr>
        <w:t xml:space="preserve">l governments (e.g., </w:t>
      </w:r>
      <w:proofErr w:type="gramStart"/>
      <w:r>
        <w:rPr>
          <w:rFonts w:ascii="Cambria" w:eastAsia="Cambria" w:hAnsi="Cambria" w:cs="Cambria"/>
          <w:i/>
          <w:sz w:val="20"/>
          <w:szCs w:val="20"/>
        </w:rPr>
        <w:t>build</w:t>
      </w:r>
      <w:proofErr w:type="gramEnd"/>
      <w:r>
        <w:rPr>
          <w:rFonts w:ascii="Cambria" w:eastAsia="Cambria" w:hAnsi="Cambria" w:cs="Cambria"/>
          <w:i/>
          <w:sz w:val="20"/>
          <w:szCs w:val="20"/>
        </w:rPr>
        <w:t xml:space="preserve"> roads, tax citizens, make laws). *Students will explain how reserved powers define issues as matters for the people or the state governments. *Students will compare the roles of </w:t>
      </w:r>
      <w:proofErr w:type="gramStart"/>
      <w:r>
        <w:rPr>
          <w:rFonts w:ascii="Cambria" w:eastAsia="Cambria" w:hAnsi="Cambria" w:cs="Cambria"/>
          <w:i/>
          <w:sz w:val="20"/>
          <w:szCs w:val="20"/>
        </w:rPr>
        <w:t>expressed,</w:t>
      </w:r>
      <w:proofErr w:type="gramEnd"/>
      <w:r>
        <w:rPr>
          <w:rFonts w:ascii="Cambria" w:eastAsia="Cambria" w:hAnsi="Cambria" w:cs="Cambria"/>
          <w:i/>
          <w:sz w:val="20"/>
          <w:szCs w:val="20"/>
        </w:rPr>
        <w:t xml:space="preserve"> implied, concurrent and reserved powers in United States’ federalism.</w:t>
      </w:r>
    </w:p>
    <w:p w14:paraId="2147B4AA" w14:textId="77777777" w:rsidR="009D5012" w:rsidRDefault="009D5012">
      <w:pPr>
        <w:spacing w:after="0"/>
        <w:rPr>
          <w:rFonts w:ascii="Cambria" w:eastAsia="Cambria" w:hAnsi="Cambria" w:cs="Cambria"/>
          <w:b/>
          <w:i/>
        </w:rPr>
      </w:pPr>
    </w:p>
    <w:p w14:paraId="2147B4AB" w14:textId="77777777" w:rsidR="009D5012" w:rsidRDefault="00DD390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b/>
          <w:i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Activity Materials and Handouts</w:t>
      </w:r>
    </w:p>
    <w:p w14:paraId="2147B4AC" w14:textId="77777777" w:rsidR="009D5012" w:rsidRDefault="009D501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b/>
          <w:i/>
          <w:color w:val="000000"/>
          <w:sz w:val="24"/>
          <w:szCs w:val="24"/>
        </w:rPr>
      </w:pPr>
    </w:p>
    <w:p w14:paraId="2147B4AD" w14:textId="77777777" w:rsidR="009D5012" w:rsidRDefault="00DD3903">
      <w:pPr>
        <w:spacing w:after="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Video and bell </w:t>
      </w:r>
      <w:proofErr w:type="gramStart"/>
      <w:r>
        <w:rPr>
          <w:rFonts w:ascii="Cambria" w:eastAsia="Cambria" w:hAnsi="Cambria" w:cs="Cambria"/>
          <w:sz w:val="24"/>
          <w:szCs w:val="24"/>
        </w:rPr>
        <w:t>ringer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questions: </w:t>
      </w:r>
      <w:hyperlink r:id="rId8">
        <w:r>
          <w:rPr>
            <w:rFonts w:ascii="Cambria" w:eastAsia="Cambria" w:hAnsi="Cambria" w:cs="Cambria"/>
            <w:color w:val="0563C1"/>
            <w:sz w:val="24"/>
            <w:szCs w:val="24"/>
            <w:u w:val="single"/>
          </w:rPr>
          <w:t>The Necessary and Proper Clause | C-SPAN Classroom</w:t>
        </w:r>
      </w:hyperlink>
      <w:r>
        <w:rPr>
          <w:rFonts w:ascii="Cambria" w:eastAsia="Cambria" w:hAnsi="Cambria" w:cs="Cambria"/>
          <w:sz w:val="24"/>
          <w:szCs w:val="24"/>
        </w:rPr>
        <w:t xml:space="preserve"> </w:t>
      </w:r>
    </w:p>
    <w:p w14:paraId="2147B4AE" w14:textId="77777777" w:rsidR="009D5012" w:rsidRDefault="00DD3903">
      <w:pPr>
        <w:spacing w:after="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Document A – Interpretation of the Necessary and Proper Clause: </w:t>
      </w:r>
      <w:hyperlink r:id="rId9" w:anchor="necessary-and-proper-clause">
        <w:r>
          <w:rPr>
            <w:rFonts w:ascii="Cambria" w:eastAsia="Cambria" w:hAnsi="Cambria" w:cs="Cambria"/>
            <w:color w:val="1155CC"/>
            <w:sz w:val="24"/>
            <w:szCs w:val="24"/>
            <w:u w:val="single"/>
          </w:rPr>
          <w:t>National Constitution Center Necessary and Proper Clause</w:t>
        </w:r>
      </w:hyperlink>
      <w:r>
        <w:rPr>
          <w:rFonts w:ascii="Cambria" w:eastAsia="Cambria" w:hAnsi="Cambria" w:cs="Cambria"/>
          <w:sz w:val="24"/>
          <w:szCs w:val="24"/>
        </w:rPr>
        <w:t xml:space="preserve"> </w:t>
      </w:r>
    </w:p>
    <w:p w14:paraId="2147B4AF" w14:textId="77777777" w:rsidR="009D5012" w:rsidRDefault="00DD3903">
      <w:pPr>
        <w:spacing w:after="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Document B – Applications of the Necessary and Proper Clause: </w:t>
      </w:r>
      <w:hyperlink r:id="rId10">
        <w:r>
          <w:rPr>
            <w:rFonts w:ascii="Cambria" w:eastAsia="Cambria" w:hAnsi="Cambria" w:cs="Cambria"/>
            <w:color w:val="1155CC"/>
            <w:sz w:val="24"/>
            <w:szCs w:val="24"/>
            <w:u w:val="single"/>
          </w:rPr>
          <w:t>National Constitution Center Necessary and Proper Clause Application</w:t>
        </w:r>
      </w:hyperlink>
    </w:p>
    <w:p w14:paraId="2147B4B0" w14:textId="77777777" w:rsidR="009D5012" w:rsidRDefault="00DD3903">
      <w:pPr>
        <w:spacing w:after="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Document C – Interpretation of the Emoluments Clause: </w:t>
      </w:r>
      <w:hyperlink r:id="rId11" w:anchor="the-foreign-emoluments-clause-article-i-section-9-clause-8">
        <w:r>
          <w:rPr>
            <w:rFonts w:ascii="Cambria" w:eastAsia="Cambria" w:hAnsi="Cambria" w:cs="Cambria"/>
            <w:color w:val="1155CC"/>
            <w:sz w:val="24"/>
            <w:szCs w:val="24"/>
            <w:u w:val="single"/>
          </w:rPr>
          <w:t>National Constitution Center Emoluments Clause</w:t>
        </w:r>
      </w:hyperlink>
      <w:r>
        <w:rPr>
          <w:rFonts w:ascii="Cambria" w:eastAsia="Cambria" w:hAnsi="Cambria" w:cs="Cambria"/>
          <w:sz w:val="24"/>
          <w:szCs w:val="24"/>
        </w:rPr>
        <w:t xml:space="preserve"> </w:t>
      </w:r>
    </w:p>
    <w:p w14:paraId="2147B4B1" w14:textId="77777777" w:rsidR="009D5012" w:rsidRDefault="00DD3903">
      <w:pPr>
        <w:spacing w:after="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Document D – Application of the Emolument Clause: </w:t>
      </w:r>
      <w:hyperlink r:id="rId12">
        <w:r>
          <w:rPr>
            <w:rFonts w:ascii="Cambria" w:eastAsia="Cambria" w:hAnsi="Cambria" w:cs="Cambria"/>
            <w:color w:val="0563C1"/>
            <w:sz w:val="24"/>
            <w:szCs w:val="24"/>
            <w:u w:val="single"/>
          </w:rPr>
          <w:t>An Overview Of How Military Retirees Are Subject To The Emoluments Clause | FedSmith.com</w:t>
        </w:r>
      </w:hyperlink>
    </w:p>
    <w:p w14:paraId="2147B4B2" w14:textId="77777777" w:rsidR="009D5012" w:rsidRDefault="00DD3903">
      <w:pPr>
        <w:spacing w:after="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Document E – Interpretation and applications of the Commerce Clause: </w:t>
      </w:r>
      <w:hyperlink r:id="rId13">
        <w:r>
          <w:rPr>
            <w:rFonts w:ascii="Cambria" w:eastAsia="Cambria" w:hAnsi="Cambria" w:cs="Cambria"/>
            <w:color w:val="1155CC"/>
            <w:sz w:val="24"/>
            <w:szCs w:val="24"/>
            <w:u w:val="single"/>
          </w:rPr>
          <w:t>Bill of Rights Institute Interpreting the Commerce Clause Background Essay</w:t>
        </w:r>
      </w:hyperlink>
    </w:p>
    <w:p w14:paraId="2147B4B3" w14:textId="77777777" w:rsidR="009D5012" w:rsidRDefault="00DD3903">
      <w:pPr>
        <w:spacing w:after="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Document F – political cartoons of the constitutional clauses including but not limited to: </w:t>
      </w:r>
      <w:hyperlink r:id="rId14">
        <w:r>
          <w:rPr>
            <w:rFonts w:ascii="Cambria" w:eastAsia="Cambria" w:hAnsi="Cambria" w:cs="Cambria"/>
            <w:color w:val="0563C1"/>
            <w:sz w:val="24"/>
            <w:szCs w:val="24"/>
            <w:u w:val="single"/>
          </w:rPr>
          <w:t>https://cagle.com/topic/emoluments-clause</w:t>
        </w:r>
      </w:hyperlink>
      <w:r>
        <w:rPr>
          <w:rFonts w:ascii="Cambria" w:eastAsia="Cambria" w:hAnsi="Cambria" w:cs="Cambria"/>
          <w:sz w:val="24"/>
          <w:szCs w:val="24"/>
        </w:rPr>
        <w:t xml:space="preserve">, </w:t>
      </w:r>
      <w:hyperlink r:id="rId15">
        <w:r>
          <w:rPr>
            <w:rFonts w:ascii="Cambria" w:eastAsia="Cambria" w:hAnsi="Cambria" w:cs="Cambria"/>
            <w:color w:val="0563C1"/>
            <w:sz w:val="24"/>
            <w:szCs w:val="24"/>
            <w:u w:val="single"/>
          </w:rPr>
          <w:t>https://cagle.com/topic/commerce-clause</w:t>
        </w:r>
      </w:hyperlink>
    </w:p>
    <w:p w14:paraId="2147B4B4" w14:textId="77777777" w:rsidR="009D5012" w:rsidRDefault="00DD3903">
      <w:pPr>
        <w:spacing w:after="0"/>
      </w:pPr>
      <w:r>
        <w:rPr>
          <w:rFonts w:ascii="Cambria" w:eastAsia="Cambria" w:hAnsi="Cambria" w:cs="Cambria"/>
          <w:sz w:val="24"/>
          <w:szCs w:val="24"/>
        </w:rPr>
        <w:t xml:space="preserve">Cartoon analysis handout </w:t>
      </w:r>
      <w:hyperlink r:id="rId16">
        <w:r>
          <w:rPr>
            <w:rFonts w:ascii="Cambria" w:eastAsia="Cambria" w:hAnsi="Cambria" w:cs="Cambria"/>
            <w:color w:val="1155CC"/>
            <w:sz w:val="24"/>
            <w:szCs w:val="24"/>
            <w:u w:val="single"/>
          </w:rPr>
          <w:t>National Archives Analyzing a Political Cartoon Worksheet</w:t>
        </w:r>
      </w:hyperlink>
    </w:p>
    <w:p w14:paraId="2147B4B5" w14:textId="77777777" w:rsidR="009D5012" w:rsidRDefault="009D5012">
      <w:pPr>
        <w:spacing w:after="0"/>
        <w:rPr>
          <w:rFonts w:ascii="Cambria" w:eastAsia="Cambria" w:hAnsi="Cambria" w:cs="Cambria"/>
          <w:sz w:val="24"/>
          <w:szCs w:val="24"/>
        </w:rPr>
      </w:pPr>
    </w:p>
    <w:p w14:paraId="2147B4B6" w14:textId="77777777" w:rsidR="009D5012" w:rsidRDefault="009D501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color w:val="000000"/>
        </w:rPr>
      </w:pPr>
    </w:p>
    <w:p w14:paraId="2147B4B7" w14:textId="77777777" w:rsidR="009D5012" w:rsidRDefault="00DD3903">
      <w:pPr>
        <w:spacing w:after="0"/>
        <w:rPr>
          <w:rFonts w:ascii="Cambria" w:eastAsia="Cambria" w:hAnsi="Cambria" w:cs="Cambria"/>
          <w:b/>
          <w:i/>
          <w:sz w:val="24"/>
          <w:szCs w:val="24"/>
        </w:rPr>
      </w:pPr>
      <w:r>
        <w:rPr>
          <w:rFonts w:ascii="Cambria" w:eastAsia="Cambria" w:hAnsi="Cambria" w:cs="Cambria"/>
          <w:b/>
          <w:i/>
          <w:sz w:val="24"/>
          <w:szCs w:val="24"/>
        </w:rPr>
        <w:t xml:space="preserve">Activity Vocabulary </w:t>
      </w:r>
    </w:p>
    <w:tbl>
      <w:tblPr>
        <w:tblStyle w:val="a0"/>
        <w:tblW w:w="1081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18"/>
      </w:tblGrid>
      <w:tr w:rsidR="009D5012" w14:paraId="2147B4BE" w14:textId="77777777">
        <w:trPr>
          <w:trHeight w:val="503"/>
          <w:jc w:val="center"/>
        </w:trPr>
        <w:tc>
          <w:tcPr>
            <w:tcW w:w="10818" w:type="dxa"/>
          </w:tcPr>
          <w:p w14:paraId="2147B4B8" w14:textId="77777777" w:rsidR="009D5012" w:rsidRDefault="00DD3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i/>
                <w:color w:val="000000"/>
              </w:rPr>
              <w:t>clause</w:t>
            </w:r>
            <w:r>
              <w:rPr>
                <w:rFonts w:ascii="Cambria" w:eastAsia="Cambria" w:hAnsi="Cambria" w:cs="Cambria"/>
                <w:color w:val="000000"/>
              </w:rPr>
              <w:t xml:space="preserve"> – a distinct article or provision in a contract, treaty, will, or other formal or legal written document.</w:t>
            </w:r>
          </w:p>
          <w:p w14:paraId="2147B4B9" w14:textId="77777777" w:rsidR="009D5012" w:rsidRDefault="00DD3903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i/>
              </w:rPr>
              <w:t>commerce</w:t>
            </w:r>
            <w:r>
              <w:rPr>
                <w:rFonts w:ascii="Cambria" w:eastAsia="Cambria" w:hAnsi="Cambria" w:cs="Cambria"/>
              </w:rPr>
              <w:t xml:space="preserve"> – the activity of buying and selling.</w:t>
            </w:r>
          </w:p>
          <w:p w14:paraId="2147B4BA" w14:textId="77777777" w:rsidR="009D5012" w:rsidRDefault="00DD3903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i/>
              </w:rPr>
              <w:t>emoluments</w:t>
            </w:r>
            <w:r>
              <w:rPr>
                <w:rFonts w:ascii="Cambria" w:eastAsia="Cambria" w:hAnsi="Cambria" w:cs="Cambria"/>
              </w:rPr>
              <w:t xml:space="preserve"> – gift or profit from employment or office; foreign and/or domestic.</w:t>
            </w:r>
          </w:p>
          <w:p w14:paraId="2147B4BB" w14:textId="77777777" w:rsidR="009D5012" w:rsidRDefault="00DD3903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i/>
              </w:rPr>
              <w:t>due process</w:t>
            </w:r>
            <w:r>
              <w:rPr>
                <w:rFonts w:ascii="Cambria" w:eastAsia="Cambria" w:hAnsi="Cambria" w:cs="Cambria"/>
              </w:rPr>
              <w:t xml:space="preserve"> – fair treatment through the judicial system following its normal procedures.</w:t>
            </w:r>
          </w:p>
          <w:p w14:paraId="2147B4BC" w14:textId="77777777" w:rsidR="009D5012" w:rsidRDefault="00DD3903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i/>
              </w:rPr>
              <w:t>elastic clause</w:t>
            </w:r>
            <w:r>
              <w:rPr>
                <w:rFonts w:ascii="Cambria" w:eastAsia="Cambria" w:hAnsi="Cambria" w:cs="Cambria"/>
              </w:rPr>
              <w:t xml:space="preserve">– a synonym for the Necessary and Proper Clause, demonstrating Congress’ flexible use of its delegated powers. </w:t>
            </w:r>
          </w:p>
          <w:p w14:paraId="2147B4BD" w14:textId="77777777" w:rsidR="009D5012" w:rsidRDefault="009D5012">
            <w:pPr>
              <w:rPr>
                <w:rFonts w:ascii="Cambria" w:eastAsia="Cambria" w:hAnsi="Cambria" w:cs="Cambria"/>
                <w:sz w:val="18"/>
                <w:szCs w:val="18"/>
              </w:rPr>
            </w:pPr>
          </w:p>
        </w:tc>
      </w:tr>
    </w:tbl>
    <w:p w14:paraId="2147B4BF" w14:textId="77777777" w:rsidR="009D5012" w:rsidRDefault="009D5012">
      <w:pPr>
        <w:rPr>
          <w:rFonts w:ascii="Cambria" w:eastAsia="Cambria" w:hAnsi="Cambria" w:cs="Cambria"/>
          <w:b/>
          <w:sz w:val="12"/>
          <w:szCs w:val="12"/>
        </w:rPr>
      </w:pPr>
    </w:p>
    <w:p w14:paraId="2147B4C0" w14:textId="77777777" w:rsidR="009D5012" w:rsidRDefault="00DD3903">
      <w:pPr>
        <w:spacing w:after="0"/>
        <w:rPr>
          <w:rFonts w:ascii="Cambria" w:eastAsia="Cambria" w:hAnsi="Cambria" w:cs="Cambria"/>
          <w:b/>
          <w:i/>
          <w:sz w:val="24"/>
          <w:szCs w:val="24"/>
        </w:rPr>
      </w:pPr>
      <w:r>
        <w:rPr>
          <w:rFonts w:ascii="Cambria" w:eastAsia="Cambria" w:hAnsi="Cambria" w:cs="Cambria"/>
          <w:b/>
          <w:i/>
          <w:sz w:val="24"/>
          <w:szCs w:val="24"/>
        </w:rPr>
        <w:t>Lesson Steps</w:t>
      </w:r>
    </w:p>
    <w:p w14:paraId="2147B4C1" w14:textId="77777777" w:rsidR="009D5012" w:rsidRDefault="00DD390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color w:val="000000"/>
          <w:sz w:val="12"/>
          <w:szCs w:val="12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Bell ringer / introduction – Students will watch a video from CSPAN and answer the questions as they follow along (see student handout for questions)</w:t>
      </w:r>
    </w:p>
    <w:p w14:paraId="2147B4C2" w14:textId="77777777" w:rsidR="009D5012" w:rsidRDefault="00DD390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 xml:space="preserve">Introductory lecture – This will provide a quick summary of powers granted to Congress in Article 1 and the clauses that have been established, which will provide background information for students in the DBQ. </w:t>
      </w:r>
    </w:p>
    <w:p w14:paraId="2147B4C3" w14:textId="77777777" w:rsidR="009D5012" w:rsidRDefault="00DD390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DBQ – students will be given several sources (blogs, cartoon</w:t>
      </w:r>
      <w:r>
        <w:rPr>
          <w:rFonts w:ascii="Cambria" w:eastAsia="Cambria" w:hAnsi="Cambria" w:cs="Cambria"/>
          <w:sz w:val="20"/>
          <w:szCs w:val="20"/>
        </w:rPr>
        <w:t xml:space="preserve"> images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, and essays). The goal of this DBQ is for students to be able to understand the three clauses </w:t>
      </w:r>
      <w:proofErr w:type="gramStart"/>
      <w:r>
        <w:rPr>
          <w:rFonts w:ascii="Cambria" w:eastAsia="Cambria" w:hAnsi="Cambria" w:cs="Cambria"/>
          <w:sz w:val="20"/>
          <w:szCs w:val="20"/>
        </w:rPr>
        <w:t xml:space="preserve">included 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 in</w:t>
      </w:r>
      <w:proofErr w:type="gramEnd"/>
      <w:r>
        <w:rPr>
          <w:rFonts w:ascii="Cambria" w:eastAsia="Cambria" w:hAnsi="Cambria" w:cs="Cambria"/>
          <w:color w:val="000000"/>
          <w:sz w:val="20"/>
          <w:szCs w:val="20"/>
        </w:rPr>
        <w:t xml:space="preserve"> Article 1 and how they have been applied throughout U.S. history.</w:t>
      </w:r>
    </w:p>
    <w:p w14:paraId="2147B4C4" w14:textId="77777777" w:rsidR="009D5012" w:rsidRDefault="00DD390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 xml:space="preserve">Debrief – a Socratic seminar answering the question. Allowing the students to use the documents and their responses to guide the discussion about these clauses. </w:t>
      </w:r>
    </w:p>
    <w:p w14:paraId="2147B4C5" w14:textId="77777777" w:rsidR="009D5012" w:rsidRDefault="009D5012">
      <w:pPr>
        <w:rPr>
          <w:rFonts w:ascii="Cambria" w:eastAsia="Cambria" w:hAnsi="Cambria" w:cs="Cambria"/>
          <w:b/>
          <w:sz w:val="12"/>
          <w:szCs w:val="12"/>
        </w:rPr>
      </w:pPr>
    </w:p>
    <w:p w14:paraId="2147B4C6" w14:textId="77777777" w:rsidR="009D5012" w:rsidRDefault="00DD390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000000"/>
        </w:rPr>
        <w:t>Enrichment Suggestion</w:t>
      </w:r>
      <w:r>
        <w:rPr>
          <w:rFonts w:ascii="Cambria" w:eastAsia="Cambria" w:hAnsi="Cambria" w:cs="Cambria"/>
          <w:color w:val="000000"/>
        </w:rPr>
        <w:t xml:space="preserve"> </w:t>
      </w:r>
      <w:r>
        <w:rPr>
          <w:rFonts w:ascii="Cambria" w:eastAsia="Cambria" w:hAnsi="Cambria" w:cs="Cambria"/>
          <w:b/>
          <w:color w:val="000000"/>
        </w:rPr>
        <w:t xml:space="preserve">#1 </w:t>
      </w:r>
      <w:r>
        <w:rPr>
          <w:rFonts w:ascii="Cambria" w:eastAsia="Cambria" w:hAnsi="Cambria" w:cs="Cambria"/>
          <w:color w:val="000000"/>
        </w:rPr>
        <w:t xml:space="preserve">– Students complete the Constitution Scavenger Hunt with Political Cartoons available at:  </w:t>
      </w:r>
      <w:hyperlink r:id="rId17">
        <w:r>
          <w:rPr>
            <w:rFonts w:ascii="Cambria" w:eastAsia="Cambria" w:hAnsi="Cambria" w:cs="Cambria"/>
            <w:color w:val="0563C1"/>
            <w:u w:val="single"/>
          </w:rPr>
          <w:t>Constitution Scavenger Hunt National Archives</w:t>
        </w:r>
      </w:hyperlink>
    </w:p>
    <w:p w14:paraId="2147B4C7" w14:textId="77777777" w:rsidR="009D5012" w:rsidRDefault="009D5012">
      <w:pPr>
        <w:spacing w:after="0" w:line="240" w:lineRule="auto"/>
        <w:jc w:val="center"/>
        <w:rPr>
          <w:rFonts w:ascii="Cambria" w:eastAsia="Cambria" w:hAnsi="Cambria" w:cs="Cambria"/>
          <w:b/>
          <w:sz w:val="24"/>
          <w:szCs w:val="24"/>
        </w:rPr>
      </w:pPr>
    </w:p>
    <w:p w14:paraId="2147B4C8" w14:textId="77777777" w:rsidR="009D5012" w:rsidRDefault="00DD3903">
      <w:pPr>
        <w:spacing w:after="0" w:line="240" w:lineRule="auto"/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Teacher Background Information</w:t>
      </w:r>
    </w:p>
    <w:p w14:paraId="2147B4C9" w14:textId="77777777" w:rsidR="009D5012" w:rsidRDefault="009D5012">
      <w:pPr>
        <w:spacing w:after="0" w:line="240" w:lineRule="auto"/>
        <w:jc w:val="center"/>
        <w:rPr>
          <w:rFonts w:ascii="Cambria" w:eastAsia="Cambria" w:hAnsi="Cambria" w:cs="Cambria"/>
          <w:sz w:val="28"/>
          <w:szCs w:val="28"/>
        </w:rPr>
      </w:pPr>
    </w:p>
    <w:p w14:paraId="2147B4CA" w14:textId="77777777" w:rsidR="009D5012" w:rsidRDefault="00DD3903">
      <w:pPr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What content does the teacher need to know to teach this lesson effectively?</w:t>
      </w:r>
    </w:p>
    <w:p w14:paraId="2147B4CB" w14:textId="77777777" w:rsidR="009D5012" w:rsidRDefault="00DD39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Understanding of the Necessary and Proper/Elastic Clause</w:t>
      </w:r>
    </w:p>
    <w:p w14:paraId="2147B4CC" w14:textId="77777777" w:rsidR="009D5012" w:rsidRDefault="00DD39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Understanding of the Emoluments Clause</w:t>
      </w:r>
    </w:p>
    <w:p w14:paraId="2147B4CD" w14:textId="77777777" w:rsidR="009D5012" w:rsidRDefault="00DD39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Understanding of the Commerce Clause</w:t>
      </w:r>
    </w:p>
    <w:p w14:paraId="2147B4CE" w14:textId="77777777" w:rsidR="009D5012" w:rsidRDefault="00DD39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How to analyze a political cartoon</w:t>
      </w:r>
    </w:p>
    <w:p w14:paraId="2147B4CF" w14:textId="77777777" w:rsidR="009D5012" w:rsidRDefault="00DD3903">
      <w:pPr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The Emoluments Clauses of the U.S. Constitution available at: </w:t>
      </w:r>
      <w:hyperlink r:id="rId18">
        <w:r>
          <w:rPr>
            <w:rFonts w:ascii="Cambria" w:eastAsia="Cambria" w:hAnsi="Cambria" w:cs="Cambria"/>
            <w:color w:val="1155CC"/>
            <w:sz w:val="20"/>
            <w:szCs w:val="20"/>
            <w:u w:val="single"/>
          </w:rPr>
          <w:t>Congressional Research Service Emoluments Clause</w:t>
        </w:r>
      </w:hyperlink>
    </w:p>
    <w:p w14:paraId="2147B4D0" w14:textId="77777777" w:rsidR="009D5012" w:rsidRDefault="00DD3903">
      <w:pPr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Socratic Seminar Guidelines available at: </w:t>
      </w:r>
      <w:hyperlink r:id="rId19">
        <w:r>
          <w:rPr>
            <w:rFonts w:ascii="Cambria" w:eastAsia="Cambria" w:hAnsi="Cambria" w:cs="Cambria"/>
            <w:color w:val="1155CC"/>
            <w:sz w:val="20"/>
            <w:szCs w:val="20"/>
            <w:u w:val="single"/>
          </w:rPr>
          <w:t>Socratic Seminar Guidelines</w:t>
        </w:r>
      </w:hyperlink>
    </w:p>
    <w:p w14:paraId="2147B4D1" w14:textId="77777777" w:rsidR="009D5012" w:rsidRDefault="009D5012">
      <w:pPr>
        <w:rPr>
          <w:rFonts w:ascii="Cambria" w:eastAsia="Cambria" w:hAnsi="Cambria" w:cs="Cambria"/>
          <w:sz w:val="24"/>
          <w:szCs w:val="24"/>
        </w:rPr>
      </w:pPr>
    </w:p>
    <w:p w14:paraId="2147B4D2" w14:textId="77777777" w:rsidR="009D5012" w:rsidRDefault="009D5012">
      <w:pPr>
        <w:rPr>
          <w:rFonts w:ascii="Cambria" w:eastAsia="Cambria" w:hAnsi="Cambria" w:cs="Cambria"/>
          <w:sz w:val="24"/>
          <w:szCs w:val="24"/>
        </w:rPr>
      </w:pPr>
    </w:p>
    <w:p w14:paraId="2147B4D3" w14:textId="77777777" w:rsidR="009D5012" w:rsidRDefault="009D5012">
      <w:pPr>
        <w:rPr>
          <w:rFonts w:ascii="Cambria" w:eastAsia="Cambria" w:hAnsi="Cambria" w:cs="Cambria"/>
          <w:sz w:val="24"/>
          <w:szCs w:val="24"/>
        </w:rPr>
      </w:pPr>
    </w:p>
    <w:p w14:paraId="2147B4D4" w14:textId="77777777" w:rsidR="009D5012" w:rsidRDefault="009D5012">
      <w:pPr>
        <w:rPr>
          <w:rFonts w:ascii="Cambria" w:eastAsia="Cambria" w:hAnsi="Cambria" w:cs="Cambria"/>
          <w:sz w:val="24"/>
          <w:szCs w:val="24"/>
        </w:rPr>
      </w:pPr>
    </w:p>
    <w:p w14:paraId="2147B4D5" w14:textId="77777777" w:rsidR="009D5012" w:rsidRDefault="009D5012">
      <w:pPr>
        <w:rPr>
          <w:rFonts w:ascii="Cambria" w:eastAsia="Cambria" w:hAnsi="Cambria" w:cs="Cambria"/>
          <w:sz w:val="24"/>
          <w:szCs w:val="24"/>
        </w:rPr>
      </w:pPr>
    </w:p>
    <w:p w14:paraId="2147B4D6" w14:textId="77777777" w:rsidR="009D5012" w:rsidRDefault="009D5012">
      <w:pPr>
        <w:rPr>
          <w:rFonts w:ascii="Cambria" w:eastAsia="Cambria" w:hAnsi="Cambria" w:cs="Cambria"/>
          <w:sz w:val="24"/>
          <w:szCs w:val="24"/>
        </w:rPr>
      </w:pPr>
    </w:p>
    <w:p w14:paraId="2147B4D7" w14:textId="77777777" w:rsidR="009D5012" w:rsidRDefault="009D5012">
      <w:pPr>
        <w:rPr>
          <w:rFonts w:ascii="Cambria" w:eastAsia="Cambria" w:hAnsi="Cambria" w:cs="Cambria"/>
          <w:sz w:val="24"/>
          <w:szCs w:val="24"/>
        </w:rPr>
      </w:pPr>
    </w:p>
    <w:p w14:paraId="2147B4D8" w14:textId="77777777" w:rsidR="009D5012" w:rsidRDefault="009D5012">
      <w:pPr>
        <w:rPr>
          <w:rFonts w:ascii="Cambria" w:eastAsia="Cambria" w:hAnsi="Cambria" w:cs="Cambria"/>
          <w:sz w:val="24"/>
          <w:szCs w:val="24"/>
        </w:rPr>
      </w:pPr>
    </w:p>
    <w:p w14:paraId="2147B4D9" w14:textId="77777777" w:rsidR="009D5012" w:rsidRDefault="009D5012">
      <w:pPr>
        <w:rPr>
          <w:rFonts w:ascii="Cambria" w:eastAsia="Cambria" w:hAnsi="Cambria" w:cs="Cambria"/>
          <w:sz w:val="24"/>
          <w:szCs w:val="24"/>
        </w:rPr>
      </w:pPr>
    </w:p>
    <w:p w14:paraId="2147B4DA" w14:textId="77777777" w:rsidR="009D5012" w:rsidRDefault="009D5012">
      <w:pPr>
        <w:rPr>
          <w:rFonts w:ascii="Cambria" w:eastAsia="Cambria" w:hAnsi="Cambria" w:cs="Cambria"/>
          <w:sz w:val="24"/>
          <w:szCs w:val="24"/>
        </w:rPr>
      </w:pPr>
    </w:p>
    <w:p w14:paraId="2147B4DB" w14:textId="77777777" w:rsidR="009D5012" w:rsidRDefault="00DD3903">
      <w:pPr>
        <w:spacing w:after="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Name: ___________________________________________________________________</w:t>
      </w:r>
      <w:r>
        <w:tab/>
      </w:r>
      <w:r>
        <w:tab/>
      </w:r>
      <w:r>
        <w:rPr>
          <w:rFonts w:ascii="Cambria" w:eastAsia="Cambria" w:hAnsi="Cambria" w:cs="Cambria"/>
          <w:sz w:val="24"/>
          <w:szCs w:val="24"/>
        </w:rPr>
        <w:t>Date: ______________________</w:t>
      </w:r>
    </w:p>
    <w:p w14:paraId="2147B4DC" w14:textId="77777777" w:rsidR="009D5012" w:rsidRDefault="009D5012">
      <w:pPr>
        <w:spacing w:after="0"/>
        <w:jc w:val="center"/>
        <w:rPr>
          <w:rFonts w:ascii="Cambria" w:eastAsia="Cambria" w:hAnsi="Cambria" w:cs="Cambria"/>
          <w:sz w:val="24"/>
          <w:szCs w:val="24"/>
        </w:rPr>
      </w:pPr>
    </w:p>
    <w:p w14:paraId="2147B4DD" w14:textId="77777777" w:rsidR="009D5012" w:rsidRDefault="00DD3903">
      <w:pPr>
        <w:spacing w:after="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Bell Ringer questions:</w:t>
      </w:r>
    </w:p>
    <w:p w14:paraId="2147B4DE" w14:textId="77777777" w:rsidR="009D5012" w:rsidRDefault="009D5012">
      <w:pPr>
        <w:spacing w:after="0"/>
        <w:rPr>
          <w:rFonts w:ascii="Cambria" w:eastAsia="Cambria" w:hAnsi="Cambria" w:cs="Cambria"/>
          <w:sz w:val="24"/>
          <w:szCs w:val="24"/>
        </w:rPr>
      </w:pPr>
    </w:p>
    <w:p w14:paraId="2147B4DF" w14:textId="77777777" w:rsidR="009D5012" w:rsidRDefault="00DD390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color w:val="2E2E2E"/>
          <w:sz w:val="24"/>
          <w:szCs w:val="24"/>
        </w:rPr>
      </w:pPr>
      <w:r>
        <w:rPr>
          <w:rFonts w:ascii="Cambria" w:eastAsia="Cambria" w:hAnsi="Cambria" w:cs="Cambria"/>
          <w:color w:val="2E2E2E"/>
          <w:sz w:val="24"/>
          <w:szCs w:val="24"/>
        </w:rPr>
        <w:t>How does the Necessary and Proper Clause expand the powers of Congress?</w:t>
      </w:r>
    </w:p>
    <w:p w14:paraId="2147B4E0" w14:textId="77777777" w:rsidR="009D5012" w:rsidRDefault="00DD390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color w:val="2E2E2E"/>
          <w:sz w:val="24"/>
          <w:szCs w:val="24"/>
        </w:rPr>
      </w:pPr>
      <w:r>
        <w:rPr>
          <w:rFonts w:ascii="Cambria" w:eastAsia="Cambria" w:hAnsi="Cambria" w:cs="Cambria"/>
          <w:color w:val="2E2E2E"/>
          <w:sz w:val="24"/>
          <w:szCs w:val="24"/>
        </w:rPr>
        <w:t xml:space="preserve">How does the decision in </w:t>
      </w:r>
      <w:r>
        <w:rPr>
          <w:rFonts w:ascii="Cambria" w:eastAsia="Cambria" w:hAnsi="Cambria" w:cs="Cambria"/>
          <w:i/>
          <w:color w:val="2E2E2E"/>
          <w:sz w:val="24"/>
          <w:szCs w:val="24"/>
        </w:rPr>
        <w:t>McCulloch v. Maryland</w:t>
      </w:r>
      <w:r>
        <w:rPr>
          <w:rFonts w:ascii="Cambria" w:eastAsia="Cambria" w:hAnsi="Cambria" w:cs="Cambria"/>
          <w:color w:val="2E2E2E"/>
          <w:sz w:val="24"/>
          <w:szCs w:val="24"/>
        </w:rPr>
        <w:t>, focusing on the Necessary and Proper Clause, provide for a broad view of federal government power?</w:t>
      </w:r>
    </w:p>
    <w:p w14:paraId="2147B4E1" w14:textId="77777777" w:rsidR="009D5012" w:rsidRDefault="00DD390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color w:val="2E2E2E"/>
          <w:sz w:val="24"/>
          <w:szCs w:val="24"/>
        </w:rPr>
      </w:pPr>
      <w:r>
        <w:rPr>
          <w:rFonts w:ascii="Cambria" w:eastAsia="Cambria" w:hAnsi="Cambria" w:cs="Cambria"/>
          <w:color w:val="2E2E2E"/>
          <w:sz w:val="24"/>
          <w:szCs w:val="24"/>
        </w:rPr>
        <w:t>The Necessary and Proper Clause is often referred to as the "Elastic Clause." What is the meaning behind this “nickname”?</w:t>
      </w:r>
    </w:p>
    <w:p w14:paraId="2147B4E2" w14:textId="77777777" w:rsidR="009D5012" w:rsidRDefault="009D5012">
      <w:pPr>
        <w:spacing w:after="0"/>
        <w:rPr>
          <w:rFonts w:ascii="Cambria" w:eastAsia="Cambria" w:hAnsi="Cambria" w:cs="Cambria"/>
          <w:sz w:val="24"/>
          <w:szCs w:val="24"/>
        </w:rPr>
      </w:pPr>
    </w:p>
    <w:p w14:paraId="2147B4E3" w14:textId="77777777" w:rsidR="009D5012" w:rsidRDefault="00DD3903">
      <w:pPr>
        <w:spacing w:after="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DBQ questions:</w:t>
      </w:r>
    </w:p>
    <w:p w14:paraId="2147B4E4" w14:textId="77777777" w:rsidR="009D5012" w:rsidRDefault="00DD390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C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artoon </w:t>
      </w:r>
      <w:r>
        <w:rPr>
          <w:rFonts w:ascii="Cambria" w:eastAsia="Cambria" w:hAnsi="Cambria" w:cs="Cambria"/>
          <w:sz w:val="24"/>
          <w:szCs w:val="24"/>
        </w:rPr>
        <w:t xml:space="preserve">analysis </w:t>
      </w:r>
      <w:r>
        <w:rPr>
          <w:rFonts w:ascii="Cambria" w:eastAsia="Cambria" w:hAnsi="Cambria" w:cs="Cambria"/>
          <w:color w:val="000000"/>
          <w:sz w:val="24"/>
          <w:szCs w:val="24"/>
        </w:rPr>
        <w:t>handout</w:t>
      </w:r>
    </w:p>
    <w:p w14:paraId="2147B4E5" w14:textId="77777777" w:rsidR="009D5012" w:rsidRDefault="00DD390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Explain why this clause was added to the Constitution.</w:t>
      </w:r>
    </w:p>
    <w:p w14:paraId="2147B4E6" w14:textId="77777777" w:rsidR="009D5012" w:rsidRDefault="00DD390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What criticism, if any, might occur with implementation of this clause?</w:t>
      </w:r>
    </w:p>
    <w:p w14:paraId="2147B4E7" w14:textId="77777777" w:rsidR="009D5012" w:rsidRDefault="00DD390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How has this clause been implemented over time?</w:t>
      </w:r>
    </w:p>
    <w:p w14:paraId="2147B4E8" w14:textId="77777777" w:rsidR="009D5012" w:rsidRDefault="00DD390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How effective would our government be without this clause?</w:t>
      </w:r>
    </w:p>
    <w:p w14:paraId="2147B4E9" w14:textId="77777777" w:rsidR="009D5012" w:rsidRDefault="009D5012">
      <w:pPr>
        <w:spacing w:after="0"/>
        <w:rPr>
          <w:rFonts w:ascii="Cambria" w:eastAsia="Cambria" w:hAnsi="Cambria" w:cs="Cambria"/>
          <w:sz w:val="24"/>
          <w:szCs w:val="24"/>
        </w:rPr>
      </w:pPr>
    </w:p>
    <w:sectPr w:rsidR="009D501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864" w:right="864" w:bottom="864" w:left="864" w:header="720" w:footer="43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47B4F6" w14:textId="77777777" w:rsidR="00DD3903" w:rsidRDefault="00DD3903">
      <w:pPr>
        <w:spacing w:after="0" w:line="240" w:lineRule="auto"/>
      </w:pPr>
      <w:r>
        <w:separator/>
      </w:r>
    </w:p>
  </w:endnote>
  <w:endnote w:type="continuationSeparator" w:id="0">
    <w:p w14:paraId="2147B4F8" w14:textId="77777777" w:rsidR="00DD3903" w:rsidRDefault="00DD3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6BC7525C-8085-418C-AEA3-0A76A7E387E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77DA7D1-9415-4771-94A8-7DC76661E193}"/>
    <w:embedBold r:id="rId3" w:fontKey="{1F7FE3EF-53BA-469B-BE38-4F8FD88F9A92}"/>
  </w:font>
  <w:font w:name="Lucida Grande">
    <w:panose1 w:val="00000000000000000000"/>
    <w:charset w:val="00"/>
    <w:family w:val="roman"/>
    <w:notTrueType/>
    <w:pitch w:val="default"/>
  </w:font>
  <w:font w:name="Times New Roman MT Std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483E24F-1AA0-4D9C-968F-C31297B482F4}"/>
    <w:embedItalic r:id="rId5" w:fontKey="{0CA4E5ED-8637-405E-9B44-0CC8205043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BE3332A-C866-4270-BF1B-4559CB68BEA1}"/>
    <w:embedBold r:id="rId7" w:fontKey="{9D86AC3D-0FE4-44D4-B7D2-AA4782A41768}"/>
    <w:embedItalic r:id="rId8" w:fontKey="{9A639897-A137-4F11-A780-15D010B7A76F}"/>
    <w:embedBoldItalic r:id="rId9" w:fontKey="{2F6B5AB6-6490-42B2-BEF4-2C6099681E2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19C2ACEE-3D13-4646-B883-3FB8306507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47B4EE" w14:textId="77777777" w:rsidR="009D5012" w:rsidRDefault="009D501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47B4EF" w14:textId="5B859B06" w:rsidR="009D5012" w:rsidRDefault="00DD390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47B4F1" w14:textId="43A69743" w:rsidR="009D5012" w:rsidRDefault="00DD3903">
    <w:pPr>
      <w:jc w:val="center"/>
    </w:pPr>
    <w:r>
      <w:rPr>
        <w:noProof/>
      </w:rPr>
      <w:drawing>
        <wp:inline distT="0" distB="0" distL="0" distR="0" wp14:anchorId="2147B4F2" wp14:editId="2147B4F3">
          <wp:extent cx="913383" cy="929655"/>
          <wp:effectExtent l="0" t="0" r="0" b="0"/>
          <wp:docPr id="1690472466" name="image1.png" descr="Macintosh HD:Users:vmcvey:Desktop:FJCC LFI:Logos:FJCC Logos:Circle_FJCC_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Macintosh HD:Users:vmcvey:Desktop:FJCC LFI:Logos:FJCC Logos:Circle_FJCC_Log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3383" cy="929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47B4F2" w14:textId="77777777" w:rsidR="00DD3903" w:rsidRDefault="00DD3903">
      <w:pPr>
        <w:spacing w:after="0" w:line="240" w:lineRule="auto"/>
      </w:pPr>
      <w:r>
        <w:separator/>
      </w:r>
    </w:p>
  </w:footnote>
  <w:footnote w:type="continuationSeparator" w:id="0">
    <w:p w14:paraId="2147B4F4" w14:textId="77777777" w:rsidR="00DD3903" w:rsidRDefault="00DD39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47B4EA" w14:textId="77777777" w:rsidR="009D5012" w:rsidRDefault="00DD390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147B4EB" w14:textId="77777777" w:rsidR="009D5012" w:rsidRDefault="00DD390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147B4EC" w14:textId="77777777" w:rsidR="009D5012" w:rsidRDefault="009D501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47B4ED" w14:textId="77777777" w:rsidR="009D5012" w:rsidRDefault="009D501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47B4F0" w14:textId="77777777" w:rsidR="009D5012" w:rsidRDefault="009D501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E72B1F"/>
    <w:multiLevelType w:val="multilevel"/>
    <w:tmpl w:val="188642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3447E32"/>
    <w:multiLevelType w:val="multilevel"/>
    <w:tmpl w:val="495E1F3E"/>
    <w:lvl w:ilvl="0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710ACF"/>
    <w:multiLevelType w:val="multilevel"/>
    <w:tmpl w:val="C30A0D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27D6D1E"/>
    <w:multiLevelType w:val="multilevel"/>
    <w:tmpl w:val="D57CB4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81623342">
    <w:abstractNumId w:val="0"/>
  </w:num>
  <w:num w:numId="2" w16cid:durableId="869730041">
    <w:abstractNumId w:val="3"/>
  </w:num>
  <w:num w:numId="3" w16cid:durableId="347876428">
    <w:abstractNumId w:val="2"/>
  </w:num>
  <w:num w:numId="4" w16cid:durableId="7084572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012"/>
    <w:rsid w:val="009D5012"/>
    <w:rsid w:val="00DD3903"/>
    <w:rsid w:val="00F00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47B49B"/>
  <w15:docId w15:val="{72847043-6B44-4ADE-8174-AAE85151C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7E8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D74D31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unhideWhenUsed/>
    <w:rsid w:val="000C37DA"/>
    <w:pPr>
      <w:spacing w:after="0" w:line="240" w:lineRule="auto"/>
    </w:pPr>
    <w:rPr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rsid w:val="000C37DA"/>
    <w:rPr>
      <w:sz w:val="24"/>
      <w:szCs w:val="24"/>
    </w:rPr>
  </w:style>
  <w:style w:type="character" w:styleId="EndnoteReference">
    <w:name w:val="endnote reference"/>
    <w:basedOn w:val="DefaultParagraphFont"/>
    <w:uiPriority w:val="99"/>
    <w:unhideWhenUsed/>
    <w:rsid w:val="000C37DA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0A3EE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07EF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7EFA"/>
  </w:style>
  <w:style w:type="paragraph" w:styleId="Footer">
    <w:name w:val="footer"/>
    <w:basedOn w:val="Normal"/>
    <w:link w:val="FooterChar"/>
    <w:uiPriority w:val="99"/>
    <w:unhideWhenUsed/>
    <w:rsid w:val="00C07EF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7EFA"/>
  </w:style>
  <w:style w:type="paragraph" w:styleId="BalloonText">
    <w:name w:val="Balloon Text"/>
    <w:basedOn w:val="Normal"/>
    <w:link w:val="BalloonTextChar"/>
    <w:uiPriority w:val="99"/>
    <w:semiHidden/>
    <w:unhideWhenUsed/>
    <w:rsid w:val="00C07EF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EFA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3E68C3"/>
  </w:style>
  <w:style w:type="table" w:styleId="TableGrid">
    <w:name w:val="Table Grid"/>
    <w:basedOn w:val="TableNormal"/>
    <w:uiPriority w:val="39"/>
    <w:rsid w:val="00703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41CBD"/>
    <w:pPr>
      <w:autoSpaceDE w:val="0"/>
      <w:autoSpaceDN w:val="0"/>
      <w:adjustRightInd w:val="0"/>
      <w:spacing w:after="0" w:line="240" w:lineRule="auto"/>
    </w:pPr>
    <w:rPr>
      <w:rFonts w:ascii="Times New Roman MT Std" w:hAnsi="Times New Roman MT Std" w:cs="Times New Roman MT Std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8079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02D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261A7B"/>
  </w:style>
  <w:style w:type="character" w:customStyle="1" w:styleId="eop">
    <w:name w:val="eop"/>
    <w:basedOn w:val="DefaultParagraphFont"/>
    <w:rsid w:val="00261A7B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8D32A1"/>
    <w:rPr>
      <w:color w:val="605E5C"/>
      <w:shd w:val="clear" w:color="auto" w:fill="E1DFDD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-span.org/classroom/document/?8822" TargetMode="External"/><Relationship Id="rId13" Type="http://schemas.openxmlformats.org/officeDocument/2006/relationships/hyperlink" Target="https://billofrightsinstitute.org/activities/handout-a-how-has-the-supreme-court-interpreted-the-commerce-clause-background-essay" TargetMode="External"/><Relationship Id="rId18" Type="http://schemas.openxmlformats.org/officeDocument/2006/relationships/hyperlink" Target="https://sgp.fas.org/crs/misc/IF11086.pdf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www.fedsmith.com/2017/05/19/overview-how-military-retirees-subject-emoluments-clause/" TargetMode="External"/><Relationship Id="rId17" Type="http://schemas.openxmlformats.org/officeDocument/2006/relationships/hyperlink" Target="https://www.archives.gov/legislative/resources/education/constitution-scavenger-hunt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www.archives.gov/files/education/lessons/document-analysis/english/analyze-a-cartoon-intermediate.pdf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nstitutioncenter.org/the-constitution/articles/article-i/clauses/759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cagle.com/topic/commerce-clause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constitutioncenter.org/blog/the-space-force-and-the-constitution" TargetMode="External"/><Relationship Id="rId19" Type="http://schemas.openxmlformats.org/officeDocument/2006/relationships/hyperlink" Target="https://www.aisd.net/bowie-high-school/wp-content/files/sites/25/2017/05/Socraticseminarguidelines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onstitutioncenter.org/the-constitution/articles/article-i/clauses/754" TargetMode="External"/><Relationship Id="rId14" Type="http://schemas.openxmlformats.org/officeDocument/2006/relationships/hyperlink" Target="https://cagle.com/topic/emoluments-clause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Hlj4p1vwfXT4BNJbEAR36gJ82A==">CgMxLjAyCGguZ2pkZ3hzMgloLjMwajB6bGwyDmguazZtajBsM2lyam9tMg5oLjR1eW9jMTd5ZGxvZzgAciExeU1FUWpIUHFlcjFFZzg4dHJmQXFVb2FJeGJ3dEhOSUY=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1054</Words>
  <Characters>6008</Characters>
  <Application>Microsoft Office Word</Application>
  <DocSecurity>0</DocSecurity>
  <Lines>50</Lines>
  <Paragraphs>14</Paragraphs>
  <ScaleCrop>false</ScaleCrop>
  <Company>University of Central Florida</Company>
  <LinksUpToDate>false</LinksUpToDate>
  <CharactersWithSpaces>7048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Masyada</dc:creator>
  <cp:lastModifiedBy>Stephen Masyada</cp:lastModifiedBy>
  <cp:revision>2</cp:revision>
  <dcterms:created xsi:type="dcterms:W3CDTF">2023-09-19T19:16:00Z</dcterms:created>
  <dcterms:modified xsi:type="dcterms:W3CDTF">2025-02-06T16:38:00Z</dcterms:modified>
</cp:coreProperties>
</file>