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3F89" w14:textId="77777777" w:rsidR="007B77FE" w:rsidRDefault="00FF7217">
      <w:pPr>
        <w:spacing w:after="0"/>
        <w:jc w:val="center"/>
        <w:rPr>
          <w:rFonts w:ascii="Cambria" w:eastAsia="Cambria" w:hAnsi="Cambria" w:cs="Cambria"/>
          <w:i/>
          <w:sz w:val="28"/>
          <w:szCs w:val="28"/>
        </w:rPr>
      </w:pPr>
      <w:r>
        <w:rPr>
          <w:rFonts w:ascii="Cambria" w:eastAsia="Cambria" w:hAnsi="Cambria" w:cs="Cambria"/>
          <w:i/>
          <w:sz w:val="28"/>
          <w:szCs w:val="28"/>
        </w:rPr>
        <w:t xml:space="preserve">Florida Civic Literacy Support </w:t>
      </w:r>
      <w:proofErr w:type="spellStart"/>
      <w:r>
        <w:rPr>
          <w:rFonts w:ascii="Cambria" w:eastAsia="Cambria" w:hAnsi="Cambria" w:cs="Cambria"/>
          <w:i/>
          <w:sz w:val="28"/>
          <w:szCs w:val="28"/>
        </w:rPr>
        <w:t>Bellwork</w:t>
      </w:r>
      <w:proofErr w:type="spellEnd"/>
    </w:p>
    <w:p w14:paraId="31F23F8A" w14:textId="77777777" w:rsidR="007B77FE" w:rsidRDefault="00FF7217">
      <w:pPr>
        <w:spacing w:after="0"/>
        <w:jc w:val="center"/>
        <w:rPr>
          <w:rFonts w:ascii="Cambria" w:eastAsia="Cambria" w:hAnsi="Cambria" w:cs="Cambria"/>
          <w:i/>
          <w:sz w:val="28"/>
          <w:szCs w:val="28"/>
        </w:rPr>
      </w:pPr>
      <w:r>
        <w:rPr>
          <w:rFonts w:ascii="Cambria" w:eastAsia="Cambria" w:hAnsi="Cambria" w:cs="Cambria"/>
          <w:i/>
          <w:sz w:val="28"/>
          <w:szCs w:val="28"/>
        </w:rPr>
        <w:t>Korematsu v. United States</w:t>
      </w:r>
    </w:p>
    <w:p w14:paraId="31F23F8B" w14:textId="77777777" w:rsidR="007B77FE" w:rsidRDefault="007B77FE">
      <w:pPr>
        <w:spacing w:after="0"/>
        <w:jc w:val="center"/>
        <w:rPr>
          <w:rFonts w:ascii="Cambria" w:eastAsia="Cambria" w:hAnsi="Cambria" w:cs="Cambria"/>
          <w:i/>
          <w:sz w:val="28"/>
          <w:szCs w:val="28"/>
        </w:rPr>
      </w:pPr>
    </w:p>
    <w:p w14:paraId="31F23F8C" w14:textId="77777777" w:rsidR="007B77FE" w:rsidRDefault="00FF7217">
      <w:pPr>
        <w:spacing w:after="0"/>
        <w:rPr>
          <w:rFonts w:ascii="Cambria" w:eastAsia="Cambria" w:hAnsi="Cambria" w:cs="Cambria"/>
          <w:b/>
          <w:sz w:val="26"/>
          <w:szCs w:val="26"/>
        </w:rPr>
      </w:pPr>
      <w:r>
        <w:rPr>
          <w:rFonts w:ascii="Cambria" w:eastAsia="Cambria" w:hAnsi="Cambria" w:cs="Cambria"/>
          <w:sz w:val="26"/>
          <w:szCs w:val="26"/>
        </w:rPr>
        <w:t xml:space="preserve">How does the U.S. Supreme Court decision in </w:t>
      </w:r>
      <w:r>
        <w:rPr>
          <w:rFonts w:ascii="Cambria" w:eastAsia="Cambria" w:hAnsi="Cambria" w:cs="Cambria"/>
          <w:i/>
          <w:sz w:val="26"/>
          <w:szCs w:val="26"/>
        </w:rPr>
        <w:t>Korematsu v. United States</w:t>
      </w:r>
      <w:r>
        <w:rPr>
          <w:rFonts w:ascii="Cambria" w:eastAsia="Cambria" w:hAnsi="Cambria" w:cs="Cambria"/>
          <w:sz w:val="26"/>
          <w:szCs w:val="26"/>
        </w:rPr>
        <w:t xml:space="preserve"> (1944) impact the United States today?</w:t>
      </w:r>
    </w:p>
    <w:p w14:paraId="31F23F8D" w14:textId="77777777" w:rsidR="007B77FE" w:rsidRDefault="00FF7217">
      <w:pPr>
        <w:spacing w:after="0"/>
        <w:jc w:val="center"/>
        <w:rPr>
          <w:rFonts w:ascii="Cambria" w:eastAsia="Cambria" w:hAnsi="Cambria" w:cs="Cambria"/>
          <w:i/>
          <w:sz w:val="24"/>
          <w:szCs w:val="24"/>
        </w:rPr>
      </w:pPr>
      <w:r>
        <w:rPr>
          <w:rFonts w:ascii="Cambria" w:eastAsia="Cambria" w:hAnsi="Cambria" w:cs="Cambria"/>
          <w:i/>
          <w:sz w:val="24"/>
          <w:szCs w:val="24"/>
        </w:rPr>
        <w:t>An Activity for High School Civic Literacy Competency #4</w:t>
      </w:r>
    </w:p>
    <w:p w14:paraId="31F23F8E" w14:textId="77777777" w:rsidR="007B77FE" w:rsidRDefault="007B77FE">
      <w:pPr>
        <w:spacing w:after="0"/>
        <w:jc w:val="center"/>
        <w:rPr>
          <w:rFonts w:ascii="Cambria" w:eastAsia="Cambria" w:hAnsi="Cambria" w:cs="Cambria"/>
          <w:i/>
          <w:sz w:val="24"/>
          <w:szCs w:val="24"/>
        </w:rPr>
      </w:pPr>
    </w:p>
    <w:p w14:paraId="31F23F8F" w14:textId="77777777" w:rsidR="007B77FE" w:rsidRDefault="00FF7217">
      <w:pPr>
        <w:spacing w:after="0"/>
        <w:rPr>
          <w:rFonts w:ascii="Cambria" w:eastAsia="Cambria" w:hAnsi="Cambria" w:cs="Cambria"/>
          <w:i/>
          <w:sz w:val="24"/>
          <w:szCs w:val="24"/>
        </w:rPr>
      </w:pPr>
      <w:r>
        <w:rPr>
          <w:rFonts w:ascii="Cambria" w:eastAsia="Cambria" w:hAnsi="Cambria" w:cs="Cambria"/>
          <w:i/>
          <w:sz w:val="24"/>
          <w:szCs w:val="24"/>
        </w:rPr>
        <w:t>Competency #4</w:t>
      </w:r>
      <w:proofErr w:type="gramStart"/>
      <w:r>
        <w:rPr>
          <w:rFonts w:ascii="Cambria" w:eastAsia="Cambria" w:hAnsi="Cambria" w:cs="Cambria"/>
          <w:i/>
          <w:sz w:val="24"/>
          <w:szCs w:val="24"/>
        </w:rPr>
        <w:t>:  Understanding</w:t>
      </w:r>
      <w:proofErr w:type="gramEnd"/>
      <w:r>
        <w:rPr>
          <w:rFonts w:ascii="Cambria" w:eastAsia="Cambria" w:hAnsi="Cambria" w:cs="Cambria"/>
          <w:i/>
          <w:sz w:val="24"/>
          <w:szCs w:val="24"/>
        </w:rPr>
        <w:t xml:space="preserve"> of landmark Supreme Court cases, landmark legislation, and landmark executive actions and their impact on law and society</w:t>
      </w:r>
    </w:p>
    <w:p w14:paraId="31F23F90" w14:textId="77777777" w:rsidR="007B77FE" w:rsidRDefault="007B77FE">
      <w:pPr>
        <w:spacing w:after="0"/>
        <w:jc w:val="center"/>
        <w:rPr>
          <w:rFonts w:ascii="Cambria" w:eastAsia="Cambria" w:hAnsi="Cambria" w:cs="Cambria"/>
          <w:i/>
          <w:sz w:val="24"/>
          <w:szCs w:val="24"/>
        </w:rPr>
      </w:pPr>
    </w:p>
    <w:p w14:paraId="31F23F91" w14:textId="77777777" w:rsidR="007B77FE" w:rsidRDefault="00FF7217">
      <w:pPr>
        <w:spacing w:after="0"/>
        <w:rPr>
          <w:rFonts w:ascii="Cambria" w:eastAsia="Cambria" w:hAnsi="Cambria" w:cs="Cambria"/>
          <w:b/>
          <w:i/>
          <w:sz w:val="24"/>
          <w:szCs w:val="24"/>
        </w:rPr>
      </w:pPr>
      <w:r>
        <w:rPr>
          <w:rFonts w:ascii="Cambria" w:eastAsia="Cambria" w:hAnsi="Cambria" w:cs="Cambria"/>
          <w:i/>
          <w:sz w:val="24"/>
          <w:szCs w:val="24"/>
        </w:rPr>
        <w:t xml:space="preserve">  </w:t>
      </w:r>
      <w:r>
        <w:rPr>
          <w:rFonts w:ascii="Cambria" w:eastAsia="Cambria" w:hAnsi="Cambria" w:cs="Cambria"/>
          <w:b/>
          <w:i/>
          <w:sz w:val="24"/>
          <w:szCs w:val="24"/>
        </w:rPr>
        <w:t xml:space="preserve">Benchmark and Benchmark Clarification Correlations </w:t>
      </w:r>
    </w:p>
    <w:p w14:paraId="31F23F92" w14:textId="77777777" w:rsidR="007B77FE" w:rsidRDefault="007B77FE">
      <w:pPr>
        <w:spacing w:after="0"/>
      </w:pPr>
      <w:bookmarkStart w:id="0" w:name="_heading=h.30j0zll" w:colFirst="0" w:colLast="0"/>
      <w:bookmarkEnd w:id="0"/>
    </w:p>
    <w:p w14:paraId="31F23F93" w14:textId="77777777" w:rsidR="007B77FE" w:rsidRDefault="00FF7217">
      <w:pPr>
        <w:spacing w:after="0"/>
      </w:pPr>
      <w:r>
        <w:t xml:space="preserve">SS.912.CG.2.6 Explain how the principles contained in foundational documents contributed to the expansion of civil rights and liberties over time. </w:t>
      </w:r>
    </w:p>
    <w:p w14:paraId="31F23F94" w14:textId="77777777" w:rsidR="007B77FE" w:rsidRDefault="00FF7217">
      <w:pPr>
        <w:spacing w:after="0"/>
        <w:rPr>
          <w:i/>
        </w:rPr>
      </w:pPr>
      <w:r>
        <w:rPr>
          <w:i/>
        </w:rPr>
        <w:t xml:space="preserve">* Students will explain how different groups of people (e.g., African Americans, immigrants, Native Americans, women) had their civil rights expanded through legislative action (e.g., Voting Rights Act, Civil Rights Act), executive action (e.g., Truman’s desegregation of the army, Lincoln’s Emancipation Proclamation) and the courts (e.g., Brown v. Board of Education; In re Gault). </w:t>
      </w:r>
    </w:p>
    <w:p w14:paraId="31F23F95" w14:textId="77777777" w:rsidR="007B77FE" w:rsidRDefault="00FF7217">
      <w:pPr>
        <w:spacing w:after="0"/>
        <w:rPr>
          <w:i/>
        </w:rPr>
      </w:pPr>
      <w:r>
        <w:rPr>
          <w:i/>
        </w:rPr>
        <w:t>*Students will explain the role founding documents, such as the Declaration of Independence and the Constitution, had on setting precedent for the future granting of rights.</w:t>
      </w:r>
    </w:p>
    <w:p w14:paraId="31F23F96" w14:textId="77777777" w:rsidR="007B77FE" w:rsidRDefault="007B77FE">
      <w:pPr>
        <w:spacing w:after="0"/>
      </w:pPr>
    </w:p>
    <w:p w14:paraId="31F23F97" w14:textId="77777777" w:rsidR="007B77FE" w:rsidRDefault="00FF7217">
      <w:pPr>
        <w:spacing w:after="0"/>
      </w:pPr>
      <w:r>
        <w:t xml:space="preserve">SS.912.CG.2.4 Evaluate, take and defend objective, evidence-based positions on issues that cause the government to balance the interests of individuals with the public good. </w:t>
      </w:r>
    </w:p>
    <w:p w14:paraId="31F23F98" w14:textId="77777777" w:rsidR="007B77FE" w:rsidRDefault="00FF7217">
      <w:pPr>
        <w:spacing w:after="0"/>
        <w:rPr>
          <w:i/>
        </w:rPr>
      </w:pPr>
      <w:r>
        <w:rPr>
          <w:i/>
        </w:rPr>
        <w:t xml:space="preserve">*Students will examine situations when individuals’ rights have been restricted for the public good (e.g., limits on speech or rationing of goods during wartime, enactment of the Patriot Act). </w:t>
      </w:r>
    </w:p>
    <w:p w14:paraId="31F23F99" w14:textId="77777777" w:rsidR="007B77FE" w:rsidRDefault="00FF7217">
      <w:pPr>
        <w:spacing w:after="0"/>
        <w:rPr>
          <w:i/>
        </w:rPr>
      </w:pPr>
      <w:r>
        <w:rPr>
          <w:i/>
        </w:rPr>
        <w:t xml:space="preserve">*Students will analyze how environmental and financial policies place limitations on citizens and private industry for the public good. </w:t>
      </w:r>
    </w:p>
    <w:p w14:paraId="31F23F9A" w14:textId="77777777" w:rsidR="007B77FE" w:rsidRDefault="00FF7217">
      <w:pPr>
        <w:spacing w:after="0"/>
      </w:pPr>
      <w:r>
        <w:rPr>
          <w:i/>
        </w:rPr>
        <w:t>*Students will explain different services provided by local, state and national governments to citizens to ensure their rights are protected (e.g., social services, law enforcement, defense, emergency response)</w:t>
      </w:r>
      <w:r>
        <w:t>.</w:t>
      </w:r>
    </w:p>
    <w:p w14:paraId="31F23F9B" w14:textId="77777777" w:rsidR="007B77FE" w:rsidRDefault="007B77FE">
      <w:pPr>
        <w:spacing w:after="0"/>
      </w:pPr>
    </w:p>
    <w:p w14:paraId="31F23F9C" w14:textId="77777777" w:rsidR="007B77FE" w:rsidRDefault="00FF7217">
      <w:pPr>
        <w:spacing w:after="0"/>
      </w:pPr>
      <w:r>
        <w:t xml:space="preserve">SS.912.CG.3.11 Evaluate how landmark Supreme Court decisions affect law, liberty and the interpretation of the U.S. Constitution. </w:t>
      </w:r>
    </w:p>
    <w:p w14:paraId="31F23F9D" w14:textId="77777777" w:rsidR="007B77FE" w:rsidRDefault="00FF7217">
      <w:pPr>
        <w:spacing w:after="0"/>
        <w:rPr>
          <w:i/>
        </w:rPr>
      </w:pPr>
      <w:r>
        <w:rPr>
          <w:i/>
        </w:rPr>
        <w:t xml:space="preserve">*Students will recognize landmark Supreme Court cases (e.g., Marbury v. Madison; McCulloch v. Maryland; Dred Scott v. Sandford; Plessy v. Ferguson; Brown v. Board of Education; Gideon v. Wainwright; Miranda v. Arizona; Korematsu v. United States; Mapp v. Ohio; In re Gault; United States v. Nixon; Regents of the University of California v. Bakke; Hazelwood v. Kuhlmeier; District of Columbia v. Heller). </w:t>
      </w:r>
    </w:p>
    <w:p w14:paraId="31F23F9E" w14:textId="77777777" w:rsidR="007B77FE" w:rsidRDefault="00FF7217">
      <w:pPr>
        <w:spacing w:after="0"/>
        <w:rPr>
          <w:i/>
        </w:rPr>
      </w:pPr>
      <w:r>
        <w:rPr>
          <w:i/>
        </w:rPr>
        <w:t xml:space="preserve">*Students will explain the foundational constitutional issues underlying landmark Supreme Court decisions related to the Bill of Rights and other amendments. </w:t>
      </w:r>
    </w:p>
    <w:p w14:paraId="31F23F9F" w14:textId="77777777" w:rsidR="007B77FE" w:rsidRDefault="00FF7217">
      <w:pPr>
        <w:spacing w:after="0"/>
        <w:rPr>
          <w:i/>
        </w:rPr>
      </w:pPr>
      <w:r>
        <w:rPr>
          <w:i/>
        </w:rPr>
        <w:t>*Students will explain the outcomes of landmark Supreme Court cases related to the Bill of Rights and other amendments.</w:t>
      </w:r>
    </w:p>
    <w:p w14:paraId="31F23FA0" w14:textId="77777777" w:rsidR="007B77FE" w:rsidRDefault="007B77FE">
      <w:pPr>
        <w:spacing w:after="0"/>
      </w:pPr>
    </w:p>
    <w:p w14:paraId="31F23FA1" w14:textId="77777777" w:rsidR="007B77FE" w:rsidRDefault="007B77FE">
      <w:pPr>
        <w:spacing w:after="0"/>
        <w:rPr>
          <w:rFonts w:ascii="Cambria" w:eastAsia="Cambria" w:hAnsi="Cambria" w:cs="Cambria"/>
          <w:b/>
          <w:sz w:val="18"/>
          <w:szCs w:val="18"/>
        </w:rPr>
      </w:pPr>
    </w:p>
    <w:p w14:paraId="31F23FA2" w14:textId="77777777" w:rsidR="007B77FE" w:rsidRDefault="007B77FE">
      <w:pPr>
        <w:spacing w:after="0"/>
        <w:rPr>
          <w:rFonts w:ascii="Cambria" w:eastAsia="Cambria" w:hAnsi="Cambria" w:cs="Cambria"/>
          <w:b/>
          <w:i/>
        </w:rPr>
      </w:pPr>
    </w:p>
    <w:p w14:paraId="78B830AF" w14:textId="77777777" w:rsidR="00FF7217" w:rsidRDefault="00FF7217">
      <w:pPr>
        <w:spacing w:after="0"/>
        <w:rPr>
          <w:rFonts w:ascii="Cambria" w:eastAsia="Cambria" w:hAnsi="Cambria" w:cs="Cambria"/>
          <w:b/>
          <w:i/>
        </w:rPr>
      </w:pPr>
    </w:p>
    <w:p w14:paraId="7B2715C7" w14:textId="77777777" w:rsidR="00FF7217" w:rsidRDefault="00FF7217">
      <w:pPr>
        <w:spacing w:after="0"/>
        <w:rPr>
          <w:rFonts w:ascii="Cambria" w:eastAsia="Cambria" w:hAnsi="Cambria" w:cs="Cambria"/>
          <w:b/>
          <w:i/>
        </w:rPr>
      </w:pPr>
    </w:p>
    <w:p w14:paraId="0A94F1B3" w14:textId="77777777" w:rsidR="00FF7217" w:rsidRDefault="00FF7217">
      <w:pPr>
        <w:spacing w:after="0"/>
        <w:rPr>
          <w:rFonts w:ascii="Cambria" w:eastAsia="Cambria" w:hAnsi="Cambria" w:cs="Cambria"/>
          <w:b/>
          <w:i/>
        </w:rPr>
      </w:pPr>
    </w:p>
    <w:p w14:paraId="31F23FA3" w14:textId="77777777" w:rsidR="007B77FE" w:rsidRDefault="007B77FE">
      <w:pPr>
        <w:pBdr>
          <w:top w:val="nil"/>
          <w:left w:val="nil"/>
          <w:bottom w:val="nil"/>
          <w:right w:val="nil"/>
          <w:between w:val="nil"/>
        </w:pBdr>
        <w:spacing w:after="0"/>
        <w:rPr>
          <w:rFonts w:ascii="Cambria" w:eastAsia="Cambria" w:hAnsi="Cambria" w:cs="Cambria"/>
          <w:b/>
          <w:i/>
          <w:color w:val="000000"/>
          <w:sz w:val="24"/>
          <w:szCs w:val="24"/>
        </w:rPr>
      </w:pPr>
    </w:p>
    <w:p w14:paraId="31F23FA4" w14:textId="77777777" w:rsidR="007B77FE" w:rsidRDefault="00FF7217">
      <w:pPr>
        <w:pBdr>
          <w:top w:val="nil"/>
          <w:left w:val="nil"/>
          <w:bottom w:val="nil"/>
          <w:right w:val="nil"/>
          <w:between w:val="nil"/>
        </w:pBdr>
        <w:spacing w:after="0"/>
        <w:rPr>
          <w:rFonts w:ascii="Cambria" w:eastAsia="Cambria" w:hAnsi="Cambria" w:cs="Cambria"/>
          <w:b/>
          <w:sz w:val="18"/>
          <w:szCs w:val="18"/>
        </w:rPr>
      </w:pPr>
      <w:r>
        <w:rPr>
          <w:rFonts w:ascii="Cambria" w:eastAsia="Cambria" w:hAnsi="Cambria" w:cs="Cambria"/>
          <w:b/>
          <w:i/>
          <w:color w:val="000000"/>
          <w:sz w:val="24"/>
          <w:szCs w:val="24"/>
        </w:rPr>
        <w:lastRenderedPageBreak/>
        <w:t>Activity Documents, Materials, and Handouts</w:t>
      </w:r>
    </w:p>
    <w:p w14:paraId="31F23FA5" w14:textId="77777777" w:rsidR="007B77FE" w:rsidRDefault="007B77FE">
      <w:pPr>
        <w:pBdr>
          <w:top w:val="nil"/>
          <w:left w:val="nil"/>
          <w:bottom w:val="nil"/>
          <w:right w:val="nil"/>
          <w:between w:val="nil"/>
        </w:pBdr>
        <w:spacing w:after="0"/>
        <w:rPr>
          <w:rFonts w:ascii="Cambria" w:eastAsia="Cambria" w:hAnsi="Cambria" w:cs="Cambria"/>
          <w:color w:val="000000"/>
        </w:rPr>
      </w:pPr>
    </w:p>
    <w:p w14:paraId="31F23FA6" w14:textId="77777777" w:rsidR="007B77FE" w:rsidRDefault="00FF7217">
      <w:pPr>
        <w:pBdr>
          <w:top w:val="nil"/>
          <w:left w:val="nil"/>
          <w:bottom w:val="nil"/>
          <w:right w:val="nil"/>
          <w:between w:val="nil"/>
        </w:pBdr>
        <w:spacing w:after="0"/>
        <w:rPr>
          <w:rFonts w:ascii="Cambria" w:eastAsia="Cambria" w:hAnsi="Cambria" w:cs="Cambria"/>
          <w:color w:val="000000"/>
        </w:rPr>
      </w:pPr>
      <w:r>
        <w:rPr>
          <w:rFonts w:ascii="Cambria" w:eastAsia="Cambria" w:hAnsi="Cambria" w:cs="Cambria"/>
        </w:rPr>
        <w:t xml:space="preserve">Materials and resources </w:t>
      </w:r>
      <w:proofErr w:type="gramStart"/>
      <w:r>
        <w:rPr>
          <w:rFonts w:ascii="Cambria" w:eastAsia="Cambria" w:hAnsi="Cambria" w:cs="Cambria"/>
        </w:rPr>
        <w:t>are located in</w:t>
      </w:r>
      <w:proofErr w:type="gramEnd"/>
      <w:r>
        <w:rPr>
          <w:rFonts w:ascii="Cambria" w:eastAsia="Cambria" w:hAnsi="Cambria" w:cs="Cambria"/>
        </w:rPr>
        <w:t xml:space="preserve"> the </w:t>
      </w:r>
      <w:proofErr w:type="spellStart"/>
      <w:r>
        <w:rPr>
          <w:rFonts w:ascii="Cambria" w:eastAsia="Cambria" w:hAnsi="Cambria" w:cs="Cambria"/>
        </w:rPr>
        <w:t>bellwork</w:t>
      </w:r>
      <w:proofErr w:type="spellEnd"/>
      <w:r>
        <w:rPr>
          <w:rFonts w:ascii="Cambria" w:eastAsia="Cambria" w:hAnsi="Cambria" w:cs="Cambria"/>
        </w:rPr>
        <w:t xml:space="preserve"> steps. </w:t>
      </w:r>
    </w:p>
    <w:p w14:paraId="31F23FA7" w14:textId="77777777" w:rsidR="007B77FE" w:rsidRDefault="007B77FE">
      <w:pPr>
        <w:pBdr>
          <w:top w:val="nil"/>
          <w:left w:val="nil"/>
          <w:bottom w:val="nil"/>
          <w:right w:val="nil"/>
          <w:between w:val="nil"/>
        </w:pBdr>
        <w:spacing w:after="0"/>
        <w:rPr>
          <w:rFonts w:ascii="Cambria" w:eastAsia="Cambria" w:hAnsi="Cambria" w:cs="Cambria"/>
          <w:color w:val="000000"/>
        </w:rPr>
      </w:pPr>
    </w:p>
    <w:p w14:paraId="31F23FA8" w14:textId="77777777" w:rsidR="007B77FE" w:rsidRDefault="00FF7217">
      <w:pPr>
        <w:spacing w:after="0"/>
        <w:rPr>
          <w:rFonts w:ascii="Cambria" w:eastAsia="Cambria" w:hAnsi="Cambria" w:cs="Cambria"/>
          <w:b/>
          <w:i/>
          <w:sz w:val="24"/>
          <w:szCs w:val="24"/>
        </w:rPr>
      </w:pPr>
      <w:r>
        <w:rPr>
          <w:rFonts w:ascii="Cambria" w:eastAsia="Cambria" w:hAnsi="Cambria" w:cs="Cambria"/>
          <w:b/>
          <w:i/>
          <w:sz w:val="24"/>
          <w:szCs w:val="24"/>
        </w:rPr>
        <w:t xml:space="preserve">Activity Vocabulary </w:t>
      </w:r>
    </w:p>
    <w:tbl>
      <w:tblPr>
        <w:tblStyle w:val="a0"/>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18"/>
      </w:tblGrid>
      <w:tr w:rsidR="007B77FE" w14:paraId="31F23FAA" w14:textId="77777777">
        <w:trPr>
          <w:trHeight w:val="503"/>
          <w:jc w:val="center"/>
        </w:trPr>
        <w:tc>
          <w:tcPr>
            <w:tcW w:w="10818" w:type="dxa"/>
          </w:tcPr>
          <w:p w14:paraId="31F23FA9" w14:textId="77777777" w:rsidR="007B77FE" w:rsidRDefault="00FF7217">
            <w:pPr>
              <w:rPr>
                <w:rFonts w:ascii="Cambria" w:eastAsia="Cambria" w:hAnsi="Cambria" w:cs="Cambria"/>
              </w:rPr>
            </w:pPr>
            <w:r>
              <w:rPr>
                <w:rFonts w:ascii="Cambria" w:eastAsia="Cambria" w:hAnsi="Cambria" w:cs="Cambria"/>
                <w:b/>
              </w:rPr>
              <w:t>Internment</w:t>
            </w:r>
            <w:r>
              <w:rPr>
                <w:rFonts w:ascii="Cambria" w:eastAsia="Cambria" w:hAnsi="Cambria" w:cs="Cambria"/>
              </w:rPr>
              <w:t>- an act or instance of confining a person or ship to prescribed limits during wartime.</w:t>
            </w:r>
          </w:p>
        </w:tc>
      </w:tr>
    </w:tbl>
    <w:p w14:paraId="31F23FAB" w14:textId="77777777" w:rsidR="007B77FE" w:rsidRDefault="007B77FE">
      <w:pPr>
        <w:spacing w:after="0"/>
        <w:rPr>
          <w:rFonts w:ascii="Cambria" w:eastAsia="Cambria" w:hAnsi="Cambria" w:cs="Cambria"/>
          <w:b/>
        </w:rPr>
      </w:pPr>
    </w:p>
    <w:p w14:paraId="31F23FAC" w14:textId="77777777" w:rsidR="007B77FE" w:rsidRDefault="00FF7217">
      <w:pPr>
        <w:pBdr>
          <w:top w:val="nil"/>
          <w:left w:val="nil"/>
          <w:bottom w:val="nil"/>
          <w:right w:val="nil"/>
          <w:between w:val="nil"/>
        </w:pBdr>
        <w:spacing w:after="0"/>
        <w:rPr>
          <w:rFonts w:ascii="Cambria" w:eastAsia="Cambria" w:hAnsi="Cambria" w:cs="Cambria"/>
          <w:b/>
          <w:i/>
          <w:sz w:val="24"/>
          <w:szCs w:val="24"/>
        </w:rPr>
      </w:pPr>
      <w:r>
        <w:rPr>
          <w:rFonts w:ascii="Cambria" w:eastAsia="Cambria" w:hAnsi="Cambria" w:cs="Cambria"/>
          <w:b/>
          <w:i/>
          <w:color w:val="000000"/>
          <w:sz w:val="24"/>
          <w:szCs w:val="24"/>
        </w:rPr>
        <w:t>Teacher Note</w:t>
      </w:r>
    </w:p>
    <w:p w14:paraId="31F23FAD" w14:textId="77777777" w:rsidR="007B77FE" w:rsidRDefault="007B77FE">
      <w:pPr>
        <w:pBdr>
          <w:top w:val="nil"/>
          <w:left w:val="nil"/>
          <w:bottom w:val="nil"/>
          <w:right w:val="nil"/>
          <w:between w:val="nil"/>
        </w:pBdr>
        <w:spacing w:after="0"/>
        <w:rPr>
          <w:rFonts w:ascii="Cambria" w:eastAsia="Cambria" w:hAnsi="Cambria" w:cs="Cambria"/>
          <w:b/>
          <w:i/>
          <w:sz w:val="24"/>
          <w:szCs w:val="24"/>
        </w:rPr>
      </w:pPr>
    </w:p>
    <w:p w14:paraId="31F23FAE" w14:textId="77777777" w:rsidR="007B77FE" w:rsidRDefault="00FF7217">
      <w:pPr>
        <w:spacing w:after="0"/>
        <w:rPr>
          <w:rFonts w:ascii="Cambria" w:eastAsia="Cambria" w:hAnsi="Cambria" w:cs="Cambria"/>
          <w:sz w:val="18"/>
          <w:szCs w:val="18"/>
        </w:rPr>
      </w:pPr>
      <w:r>
        <w:rPr>
          <w:rFonts w:ascii="Cambria" w:eastAsia="Cambria" w:hAnsi="Cambria" w:cs="Cambria"/>
          <w:sz w:val="18"/>
          <w:szCs w:val="18"/>
        </w:rPr>
        <w:t xml:space="preserve">This topic can spark debate in the classroom. It is important to carefully facilitate these discussions.    Try not to </w:t>
      </w:r>
      <w:proofErr w:type="gramStart"/>
      <w:r>
        <w:rPr>
          <w:rFonts w:ascii="Cambria" w:eastAsia="Cambria" w:hAnsi="Cambria" w:cs="Cambria"/>
          <w:sz w:val="18"/>
          <w:szCs w:val="18"/>
        </w:rPr>
        <w:t>exceed</w:t>
      </w:r>
      <w:proofErr w:type="gramEnd"/>
      <w:r>
        <w:rPr>
          <w:rFonts w:ascii="Cambria" w:eastAsia="Cambria" w:hAnsi="Cambria" w:cs="Cambria"/>
          <w:sz w:val="18"/>
          <w:szCs w:val="18"/>
        </w:rPr>
        <w:t xml:space="preserve"> 15 minutes to start the class.</w:t>
      </w:r>
    </w:p>
    <w:p w14:paraId="31F23FAF" w14:textId="77777777" w:rsidR="007B77FE" w:rsidRDefault="007B77FE">
      <w:pPr>
        <w:spacing w:after="0"/>
        <w:rPr>
          <w:rFonts w:ascii="Cambria" w:eastAsia="Cambria" w:hAnsi="Cambria" w:cs="Cambria"/>
          <w:b/>
          <w:sz w:val="18"/>
          <w:szCs w:val="18"/>
        </w:rPr>
      </w:pPr>
    </w:p>
    <w:p w14:paraId="31F23FB0" w14:textId="77777777" w:rsidR="007B77FE" w:rsidRDefault="007B77FE">
      <w:pPr>
        <w:pBdr>
          <w:top w:val="nil"/>
          <w:left w:val="nil"/>
          <w:bottom w:val="nil"/>
          <w:right w:val="nil"/>
          <w:between w:val="nil"/>
        </w:pBdr>
        <w:spacing w:after="0"/>
        <w:rPr>
          <w:rFonts w:ascii="Cambria" w:eastAsia="Cambria" w:hAnsi="Cambria" w:cs="Cambria"/>
          <w:color w:val="000000"/>
          <w:sz w:val="24"/>
          <w:szCs w:val="24"/>
        </w:rPr>
      </w:pPr>
    </w:p>
    <w:p w14:paraId="31F23FB1" w14:textId="77777777" w:rsidR="007B77FE" w:rsidRDefault="00FF7217">
      <w:pPr>
        <w:rPr>
          <w:rFonts w:ascii="Cambria" w:eastAsia="Cambria" w:hAnsi="Cambria" w:cs="Cambria"/>
          <w:b/>
          <w:sz w:val="12"/>
          <w:szCs w:val="12"/>
        </w:rPr>
      </w:pPr>
      <w:r>
        <w:br w:type="page"/>
      </w:r>
    </w:p>
    <w:p w14:paraId="31F23FB2" w14:textId="77777777" w:rsidR="007B77FE" w:rsidRDefault="00FF7217">
      <w:pPr>
        <w:spacing w:after="0"/>
        <w:rPr>
          <w:rFonts w:ascii="Cambria" w:eastAsia="Cambria" w:hAnsi="Cambria" w:cs="Cambria"/>
          <w:b/>
          <w:i/>
          <w:sz w:val="24"/>
          <w:szCs w:val="24"/>
        </w:rPr>
      </w:pPr>
      <w:r>
        <w:rPr>
          <w:rFonts w:ascii="Cambria" w:eastAsia="Cambria" w:hAnsi="Cambria" w:cs="Cambria"/>
          <w:b/>
          <w:i/>
          <w:sz w:val="24"/>
          <w:szCs w:val="24"/>
        </w:rPr>
        <w:lastRenderedPageBreak/>
        <w:t>Lesson Steps</w:t>
      </w:r>
    </w:p>
    <w:p w14:paraId="31F23FB3" w14:textId="77777777" w:rsidR="007B77FE" w:rsidRDefault="007B77FE">
      <w:pPr>
        <w:rPr>
          <w:rFonts w:ascii="Cambria" w:eastAsia="Cambria" w:hAnsi="Cambria" w:cs="Cambria"/>
          <w:b/>
          <w:sz w:val="12"/>
          <w:szCs w:val="12"/>
        </w:rPr>
      </w:pPr>
    </w:p>
    <w:p w14:paraId="31F23FB4" w14:textId="77777777" w:rsidR="007B77FE" w:rsidRDefault="00FF7217">
      <w:pPr>
        <w:rPr>
          <w:rFonts w:ascii="Cambria" w:eastAsia="Cambria" w:hAnsi="Cambria" w:cs="Cambria"/>
          <w:b/>
          <w:i/>
          <w:sz w:val="24"/>
          <w:szCs w:val="24"/>
          <w:u w:val="single"/>
        </w:rPr>
      </w:pPr>
      <w:proofErr w:type="spellStart"/>
      <w:r>
        <w:rPr>
          <w:rFonts w:ascii="Cambria" w:eastAsia="Cambria" w:hAnsi="Cambria" w:cs="Cambria"/>
          <w:b/>
          <w:sz w:val="24"/>
          <w:szCs w:val="24"/>
          <w:u w:val="single"/>
        </w:rPr>
        <w:t>Bellwork</w:t>
      </w:r>
      <w:proofErr w:type="spellEnd"/>
      <w:r>
        <w:rPr>
          <w:rFonts w:ascii="Cambria" w:eastAsia="Cambria" w:hAnsi="Cambria" w:cs="Cambria"/>
          <w:b/>
          <w:sz w:val="24"/>
          <w:szCs w:val="24"/>
          <w:u w:val="single"/>
        </w:rPr>
        <w:t xml:space="preserve">: </w:t>
      </w:r>
      <w:r>
        <w:rPr>
          <w:rFonts w:ascii="Cambria" w:eastAsia="Cambria" w:hAnsi="Cambria" w:cs="Cambria"/>
          <w:b/>
          <w:i/>
          <w:sz w:val="24"/>
          <w:szCs w:val="24"/>
          <w:u w:val="single"/>
        </w:rPr>
        <w:t>Korematsu v. United States</w:t>
      </w:r>
    </w:p>
    <w:p w14:paraId="31F23FB5" w14:textId="77777777" w:rsidR="007B77FE" w:rsidRDefault="00FF7217">
      <w:pPr>
        <w:rPr>
          <w:rFonts w:ascii="Cambria" w:eastAsia="Cambria" w:hAnsi="Cambria" w:cs="Cambria"/>
          <w:sz w:val="24"/>
          <w:szCs w:val="24"/>
        </w:rPr>
      </w:pPr>
      <w:r>
        <w:rPr>
          <w:rFonts w:ascii="Cambria" w:eastAsia="Cambria" w:hAnsi="Cambria" w:cs="Cambria"/>
          <w:b/>
          <w:sz w:val="24"/>
          <w:szCs w:val="24"/>
        </w:rPr>
        <w:t xml:space="preserve">Step 1: </w:t>
      </w:r>
      <w:r>
        <w:rPr>
          <w:rFonts w:ascii="Cambria" w:eastAsia="Cambria" w:hAnsi="Cambria" w:cs="Cambria"/>
          <w:sz w:val="24"/>
          <w:szCs w:val="24"/>
        </w:rPr>
        <w:t>Write key terms (camps, forced removal, number tattoos, malnutrition, military surveillance, racial tension, destruction of property) on board or on a PowerPoint slide</w:t>
      </w:r>
    </w:p>
    <w:p w14:paraId="31F23FB6" w14:textId="77777777" w:rsidR="007B77FE" w:rsidRDefault="00FF7217">
      <w:pPr>
        <w:rPr>
          <w:rFonts w:ascii="Cambria" w:eastAsia="Cambria" w:hAnsi="Cambria" w:cs="Cambria"/>
          <w:sz w:val="24"/>
          <w:szCs w:val="24"/>
        </w:rPr>
      </w:pPr>
      <w:r>
        <w:rPr>
          <w:rFonts w:ascii="Cambria" w:eastAsia="Cambria" w:hAnsi="Cambria" w:cs="Cambria"/>
          <w:b/>
          <w:sz w:val="24"/>
          <w:szCs w:val="24"/>
        </w:rPr>
        <w:t xml:space="preserve">Step 2: </w:t>
      </w:r>
      <w:r>
        <w:rPr>
          <w:rFonts w:ascii="Cambria" w:eastAsia="Cambria" w:hAnsi="Cambria" w:cs="Cambria"/>
          <w:sz w:val="24"/>
          <w:szCs w:val="24"/>
        </w:rPr>
        <w:t>Present two questions on the board to be discussed in pairs/groups</w:t>
      </w:r>
    </w:p>
    <w:p w14:paraId="31F23FB7" w14:textId="77777777" w:rsidR="007B77FE" w:rsidRDefault="00FF7217">
      <w:pPr>
        <w:rPr>
          <w:rFonts w:ascii="Cambria" w:eastAsia="Cambria" w:hAnsi="Cambria" w:cs="Cambria"/>
          <w:sz w:val="24"/>
          <w:szCs w:val="24"/>
        </w:rPr>
      </w:pPr>
      <w:r>
        <w:rPr>
          <w:rFonts w:ascii="Cambria" w:eastAsia="Cambria" w:hAnsi="Cambria" w:cs="Cambria"/>
          <w:sz w:val="24"/>
          <w:szCs w:val="24"/>
        </w:rPr>
        <w:tab/>
        <w:t>-What do these words mean to you?</w:t>
      </w:r>
    </w:p>
    <w:p w14:paraId="31F23FB8" w14:textId="77777777" w:rsidR="007B77FE" w:rsidRDefault="00FF7217">
      <w:pPr>
        <w:rPr>
          <w:rFonts w:ascii="Cambria" w:eastAsia="Cambria" w:hAnsi="Cambria" w:cs="Cambria"/>
          <w:sz w:val="24"/>
          <w:szCs w:val="24"/>
        </w:rPr>
      </w:pPr>
      <w:r>
        <w:rPr>
          <w:rFonts w:ascii="Cambria" w:eastAsia="Cambria" w:hAnsi="Cambria" w:cs="Cambria"/>
          <w:sz w:val="24"/>
          <w:szCs w:val="24"/>
        </w:rPr>
        <w:tab/>
        <w:t>-What historical event do you think these words tie to and why?</w:t>
      </w:r>
    </w:p>
    <w:p w14:paraId="31F23FB9" w14:textId="77777777" w:rsidR="007B77FE" w:rsidRDefault="00FF7217">
      <w:pPr>
        <w:rPr>
          <w:rFonts w:ascii="Cambria" w:eastAsia="Cambria" w:hAnsi="Cambria" w:cs="Cambria"/>
          <w:sz w:val="24"/>
          <w:szCs w:val="24"/>
        </w:rPr>
      </w:pPr>
      <w:r>
        <w:rPr>
          <w:rFonts w:ascii="Cambria" w:eastAsia="Cambria" w:hAnsi="Cambria" w:cs="Cambria"/>
          <w:b/>
          <w:sz w:val="24"/>
          <w:szCs w:val="24"/>
        </w:rPr>
        <w:t xml:space="preserve">Step 3: </w:t>
      </w:r>
      <w:r>
        <w:rPr>
          <w:rFonts w:ascii="Cambria" w:eastAsia="Cambria" w:hAnsi="Cambria" w:cs="Cambria"/>
          <w:sz w:val="24"/>
          <w:szCs w:val="24"/>
        </w:rPr>
        <w:t xml:space="preserve">Class discussion of the interpretation of terms </w:t>
      </w:r>
    </w:p>
    <w:p w14:paraId="31F23FBA" w14:textId="77777777" w:rsidR="007B77FE" w:rsidRDefault="00FF7217">
      <w:pPr>
        <w:rPr>
          <w:rFonts w:ascii="Cambria" w:eastAsia="Cambria" w:hAnsi="Cambria" w:cs="Cambria"/>
          <w:sz w:val="24"/>
          <w:szCs w:val="24"/>
        </w:rPr>
      </w:pPr>
      <w:r>
        <w:rPr>
          <w:rFonts w:ascii="Cambria" w:eastAsia="Cambria" w:hAnsi="Cambria" w:cs="Cambria"/>
          <w:b/>
          <w:sz w:val="24"/>
          <w:szCs w:val="24"/>
        </w:rPr>
        <w:t xml:space="preserve">Step 4: </w:t>
      </w:r>
      <w:r>
        <w:rPr>
          <w:rFonts w:ascii="Cambria" w:eastAsia="Cambria" w:hAnsi="Cambria" w:cs="Cambria"/>
          <w:sz w:val="24"/>
          <w:szCs w:val="24"/>
        </w:rPr>
        <w:t>Share that the focus is the internment of U.S. citizens of Japanese descent.</w:t>
      </w:r>
    </w:p>
    <w:p w14:paraId="31F23FBB" w14:textId="77777777" w:rsidR="007B77FE" w:rsidRDefault="00FF7217">
      <w:pPr>
        <w:spacing w:line="240" w:lineRule="auto"/>
        <w:rPr>
          <w:rFonts w:ascii="Cambria" w:eastAsia="Cambria" w:hAnsi="Cambria" w:cs="Cambria"/>
          <w:sz w:val="24"/>
          <w:szCs w:val="24"/>
        </w:rPr>
      </w:pPr>
      <w:r>
        <w:rPr>
          <w:rFonts w:ascii="Cambria" w:eastAsia="Cambria" w:hAnsi="Cambria" w:cs="Cambria"/>
          <w:b/>
          <w:sz w:val="24"/>
          <w:szCs w:val="24"/>
        </w:rPr>
        <w:t xml:space="preserve">Step 5: </w:t>
      </w:r>
      <w:r>
        <w:rPr>
          <w:rFonts w:ascii="Cambria" w:eastAsia="Cambria" w:hAnsi="Cambria" w:cs="Cambria"/>
          <w:sz w:val="24"/>
          <w:szCs w:val="24"/>
        </w:rPr>
        <w:t xml:space="preserve">Read the syllabus of the U.S. Supreme Court case or view the linked video.  </w:t>
      </w:r>
      <w:proofErr w:type="gramStart"/>
      <w:r>
        <w:rPr>
          <w:rFonts w:ascii="Cambria" w:eastAsia="Cambria" w:hAnsi="Cambria" w:cs="Cambria"/>
          <w:sz w:val="24"/>
          <w:szCs w:val="24"/>
        </w:rPr>
        <w:t>Direct  students</w:t>
      </w:r>
      <w:proofErr w:type="gramEnd"/>
      <w:r>
        <w:rPr>
          <w:rFonts w:ascii="Cambria" w:eastAsia="Cambria" w:hAnsi="Cambria" w:cs="Cambria"/>
          <w:sz w:val="24"/>
          <w:szCs w:val="24"/>
        </w:rPr>
        <w:t xml:space="preserve"> to present  an opinion on the majority ruling in the case. The primary objective is to answer </w:t>
      </w:r>
      <w:proofErr w:type="gramStart"/>
      <w:r>
        <w:rPr>
          <w:rFonts w:ascii="Cambria" w:eastAsia="Cambria" w:hAnsi="Cambria" w:cs="Cambria"/>
          <w:sz w:val="24"/>
          <w:szCs w:val="24"/>
        </w:rPr>
        <w:t>whether or not</w:t>
      </w:r>
      <w:proofErr w:type="gramEnd"/>
      <w:r>
        <w:rPr>
          <w:rFonts w:ascii="Cambria" w:eastAsia="Cambria" w:hAnsi="Cambria" w:cs="Cambria"/>
          <w:sz w:val="24"/>
          <w:szCs w:val="24"/>
        </w:rPr>
        <w:t xml:space="preserve"> they agree with the reasons shaping the ruling, and to give evidence backed reasons explaining why. </w:t>
      </w:r>
    </w:p>
    <w:p w14:paraId="31F23FBC" w14:textId="77777777" w:rsidR="007B77FE" w:rsidRDefault="00FF7217">
      <w:pPr>
        <w:shd w:val="clear" w:color="auto" w:fill="FFFFFF"/>
        <w:spacing w:before="240" w:after="240" w:line="240" w:lineRule="auto"/>
        <w:jc w:val="center"/>
        <w:rPr>
          <w:rFonts w:ascii="Cambria" w:eastAsia="Cambria" w:hAnsi="Cambria" w:cs="Cambria"/>
          <w:i/>
          <w:sz w:val="24"/>
          <w:szCs w:val="24"/>
        </w:rPr>
      </w:pPr>
      <w:r>
        <w:rPr>
          <w:rFonts w:ascii="Cambria" w:eastAsia="Cambria" w:hAnsi="Cambria" w:cs="Cambria"/>
          <w:i/>
          <w:sz w:val="24"/>
          <w:szCs w:val="24"/>
        </w:rPr>
        <w:t xml:space="preserve">Syllabus </w:t>
      </w:r>
    </w:p>
    <w:p w14:paraId="31F23FBD" w14:textId="77777777" w:rsidR="007B77FE" w:rsidRDefault="00FF7217">
      <w:pPr>
        <w:shd w:val="clear" w:color="auto" w:fill="FFFFFF"/>
        <w:spacing w:before="240" w:after="240" w:line="240" w:lineRule="auto"/>
        <w:jc w:val="center"/>
        <w:rPr>
          <w:rFonts w:ascii="Cambria" w:eastAsia="Cambria" w:hAnsi="Cambria" w:cs="Cambria"/>
          <w:i/>
          <w:sz w:val="24"/>
          <w:szCs w:val="24"/>
        </w:rPr>
      </w:pPr>
      <w:r>
        <w:rPr>
          <w:rFonts w:ascii="Cambria" w:eastAsia="Cambria" w:hAnsi="Cambria" w:cs="Cambria"/>
          <w:i/>
          <w:sz w:val="24"/>
          <w:szCs w:val="24"/>
        </w:rPr>
        <w:t>(</w:t>
      </w:r>
      <w:hyperlink r:id="rId7">
        <w:r>
          <w:rPr>
            <w:rFonts w:ascii="Cambria" w:eastAsia="Cambria" w:hAnsi="Cambria" w:cs="Cambria"/>
            <w:i/>
            <w:color w:val="1155CC"/>
            <w:sz w:val="24"/>
            <w:szCs w:val="24"/>
            <w:u w:val="single"/>
          </w:rPr>
          <w:t>Korematsu v. U.S. (1944) Syllabus</w:t>
        </w:r>
      </w:hyperlink>
      <w:r>
        <w:rPr>
          <w:rFonts w:ascii="Cambria" w:eastAsia="Cambria" w:hAnsi="Cambria" w:cs="Cambria"/>
          <w:i/>
          <w:sz w:val="24"/>
          <w:szCs w:val="24"/>
        </w:rPr>
        <w:t>)</w:t>
      </w:r>
    </w:p>
    <w:p w14:paraId="31F23FBE" w14:textId="77777777" w:rsidR="007B77FE" w:rsidRDefault="00FF7217">
      <w:pPr>
        <w:shd w:val="clear" w:color="auto" w:fill="FFFFFF"/>
        <w:spacing w:before="240" w:after="240" w:line="240" w:lineRule="auto"/>
        <w:rPr>
          <w:rFonts w:ascii="Cambria" w:eastAsia="Cambria" w:hAnsi="Cambria" w:cs="Cambria"/>
          <w:sz w:val="24"/>
          <w:szCs w:val="24"/>
        </w:rPr>
      </w:pPr>
      <w:r>
        <w:rPr>
          <w:rFonts w:ascii="Cambria" w:eastAsia="Cambria" w:hAnsi="Cambria" w:cs="Cambria"/>
          <w:sz w:val="24"/>
          <w:szCs w:val="24"/>
        </w:rPr>
        <w:t xml:space="preserve">1. Civilian Exclusion Order No. 34 which, during a state of war with Japan and as a protection against espionage and sabotage, was promulgated by the Commanding General of the Western Defense Command under authority of Executive Order No. 9066 and the Act of March 21, 1942, and which directed the exclusion after May 9, 1942, from a described West Coast military area of all persons of Japanese ancestry, </w:t>
      </w:r>
      <w:r>
        <w:rPr>
          <w:rFonts w:ascii="Cambria" w:eastAsia="Cambria" w:hAnsi="Cambria" w:cs="Cambria"/>
          <w:i/>
          <w:sz w:val="24"/>
          <w:szCs w:val="24"/>
        </w:rPr>
        <w:t>held</w:t>
      </w:r>
      <w:r>
        <w:rPr>
          <w:rFonts w:ascii="Cambria" w:eastAsia="Cambria" w:hAnsi="Cambria" w:cs="Cambria"/>
          <w:sz w:val="24"/>
          <w:szCs w:val="24"/>
        </w:rPr>
        <w:t xml:space="preserve"> constitutional as of the time it was made and when the petitioner -- an American citizen of Japanese descent whose home was in the described area -- violated it. </w:t>
      </w:r>
    </w:p>
    <w:p w14:paraId="31F23FBF" w14:textId="77777777" w:rsidR="007B77FE" w:rsidRDefault="00FF7217">
      <w:pPr>
        <w:shd w:val="clear" w:color="auto" w:fill="FFFFFF"/>
        <w:spacing w:before="240" w:after="240" w:line="240" w:lineRule="auto"/>
        <w:rPr>
          <w:rFonts w:ascii="Cambria" w:eastAsia="Cambria" w:hAnsi="Cambria" w:cs="Cambria"/>
          <w:color w:val="06357A"/>
          <w:sz w:val="24"/>
          <w:szCs w:val="24"/>
        </w:rPr>
      </w:pPr>
      <w:r>
        <w:rPr>
          <w:rFonts w:ascii="Cambria" w:eastAsia="Cambria" w:hAnsi="Cambria" w:cs="Cambria"/>
          <w:sz w:val="24"/>
          <w:szCs w:val="24"/>
        </w:rPr>
        <w:t xml:space="preserve">2. The provisions of other orders requiring persons of Japanese ancestry to report to assembly centers and providing for the detention of such persons in assembly and relocation centers were separate, and their validity is not in issue in this proceeding. </w:t>
      </w:r>
    </w:p>
    <w:p w14:paraId="31F23FC0" w14:textId="77777777" w:rsidR="007B77FE" w:rsidRDefault="00FF7217">
      <w:pPr>
        <w:shd w:val="clear" w:color="auto" w:fill="FFFFFF"/>
        <w:spacing w:before="240" w:after="240" w:line="240" w:lineRule="auto"/>
        <w:rPr>
          <w:rFonts w:ascii="Cambria" w:eastAsia="Cambria" w:hAnsi="Cambria" w:cs="Cambria"/>
          <w:sz w:val="24"/>
          <w:szCs w:val="24"/>
        </w:rPr>
      </w:pPr>
      <w:r>
        <w:rPr>
          <w:rFonts w:ascii="Cambria" w:eastAsia="Cambria" w:hAnsi="Cambria" w:cs="Cambria"/>
          <w:sz w:val="24"/>
          <w:szCs w:val="24"/>
        </w:rPr>
        <w:t xml:space="preserve">3. Even though evacuation and detention in the assembly center were inseparable, the order under which the petitioner was convicted was nevertheless valid. </w:t>
      </w:r>
    </w:p>
    <w:p w14:paraId="31F23FC1" w14:textId="77777777" w:rsidR="007B77FE" w:rsidRDefault="00FF7217">
      <w:pPr>
        <w:spacing w:line="240" w:lineRule="auto"/>
        <w:rPr>
          <w:rFonts w:ascii="Cambria" w:eastAsia="Cambria" w:hAnsi="Cambria" w:cs="Cambria"/>
          <w:sz w:val="24"/>
          <w:szCs w:val="24"/>
        </w:rPr>
      </w:pPr>
      <w:r>
        <w:rPr>
          <w:rFonts w:ascii="Cambria" w:eastAsia="Cambria" w:hAnsi="Cambria" w:cs="Cambria"/>
          <w:sz w:val="24"/>
          <w:szCs w:val="24"/>
        </w:rPr>
        <w:t>OR</w:t>
      </w:r>
    </w:p>
    <w:p w14:paraId="31F23FC2" w14:textId="77777777" w:rsidR="007B77FE" w:rsidRDefault="00FF7217">
      <w:pPr>
        <w:spacing w:line="240" w:lineRule="auto"/>
        <w:rPr>
          <w:rFonts w:ascii="Cambria" w:eastAsia="Cambria" w:hAnsi="Cambria" w:cs="Cambria"/>
          <w:sz w:val="24"/>
          <w:szCs w:val="24"/>
        </w:rPr>
      </w:pPr>
      <w:r>
        <w:rPr>
          <w:rFonts w:ascii="Cambria" w:eastAsia="Cambria" w:hAnsi="Cambria" w:cs="Cambria"/>
          <w:sz w:val="24"/>
          <w:szCs w:val="24"/>
        </w:rPr>
        <w:t xml:space="preserve">Video </w:t>
      </w:r>
      <w:hyperlink r:id="rId8">
        <w:r>
          <w:rPr>
            <w:rFonts w:ascii="Cambria" w:eastAsia="Cambria" w:hAnsi="Cambria" w:cs="Cambria"/>
            <w:color w:val="1155CC"/>
            <w:sz w:val="24"/>
            <w:szCs w:val="24"/>
            <w:u w:val="single"/>
          </w:rPr>
          <w:t>Korematsu v. United States Bill of Rights Institute video overview</w:t>
        </w:r>
      </w:hyperlink>
    </w:p>
    <w:p w14:paraId="31F23FC3" w14:textId="77777777" w:rsidR="007B77FE" w:rsidRDefault="007B77FE">
      <w:pPr>
        <w:spacing w:line="240" w:lineRule="auto"/>
        <w:rPr>
          <w:rFonts w:ascii="Cambria" w:eastAsia="Cambria" w:hAnsi="Cambria" w:cs="Cambria"/>
          <w:sz w:val="24"/>
          <w:szCs w:val="24"/>
        </w:rPr>
      </w:pPr>
    </w:p>
    <w:p w14:paraId="31F23FC4" w14:textId="77777777" w:rsidR="007B77FE" w:rsidRDefault="007B77FE">
      <w:pPr>
        <w:spacing w:after="0"/>
        <w:rPr>
          <w:rFonts w:ascii="Cambria" w:eastAsia="Cambria" w:hAnsi="Cambria" w:cs="Cambria"/>
          <w:sz w:val="24"/>
          <w:szCs w:val="24"/>
        </w:rPr>
      </w:pPr>
    </w:p>
    <w:p w14:paraId="31F23FC5" w14:textId="77777777" w:rsidR="007B77FE" w:rsidRDefault="007B77FE">
      <w:pPr>
        <w:rPr>
          <w:rFonts w:ascii="Cambria" w:eastAsia="Cambria" w:hAnsi="Cambria" w:cs="Cambria"/>
          <w:b/>
          <w:sz w:val="24"/>
          <w:szCs w:val="24"/>
        </w:rPr>
      </w:pPr>
    </w:p>
    <w:sectPr w:rsidR="007B77FE">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3FD2" w14:textId="77777777" w:rsidR="00FF7217" w:rsidRDefault="00FF7217">
      <w:pPr>
        <w:spacing w:after="0" w:line="240" w:lineRule="auto"/>
      </w:pPr>
      <w:r>
        <w:separator/>
      </w:r>
    </w:p>
  </w:endnote>
  <w:endnote w:type="continuationSeparator" w:id="0">
    <w:p w14:paraId="31F23FD4" w14:textId="77777777" w:rsidR="00FF7217" w:rsidRDefault="00FF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New Roman MT St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FCA" w14:textId="77777777" w:rsidR="007B77FE" w:rsidRDefault="007B77FE">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FCB" w14:textId="322DAF5F" w:rsidR="007B77FE" w:rsidRDefault="00FF7217">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FCD" w14:textId="5C2E12D6" w:rsidR="007B77FE" w:rsidRDefault="007B77F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3FCE" w14:textId="77777777" w:rsidR="00FF7217" w:rsidRDefault="00FF7217">
      <w:pPr>
        <w:spacing w:after="0" w:line="240" w:lineRule="auto"/>
      </w:pPr>
      <w:r>
        <w:separator/>
      </w:r>
    </w:p>
  </w:footnote>
  <w:footnote w:type="continuationSeparator" w:id="0">
    <w:p w14:paraId="31F23FD0" w14:textId="77777777" w:rsidR="00FF7217" w:rsidRDefault="00FF7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FC6" w14:textId="77777777" w:rsidR="007B77FE" w:rsidRDefault="00FF7217">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1F23FC7" w14:textId="77777777" w:rsidR="007B77FE" w:rsidRDefault="00FF7217">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1F23FC8" w14:textId="77777777" w:rsidR="007B77FE" w:rsidRDefault="007B77FE">
    <w:pPr>
      <w:pBdr>
        <w:top w:val="nil"/>
        <w:left w:val="nil"/>
        <w:bottom w:val="nil"/>
        <w:right w:val="nil"/>
        <w:between w:val="nil"/>
      </w:pBdr>
      <w:tabs>
        <w:tab w:val="center" w:pos="4320"/>
        <w:tab w:val="right" w:pos="8640"/>
      </w:tabs>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FC9" w14:textId="77777777" w:rsidR="007B77FE" w:rsidRDefault="007B77FE">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FCC" w14:textId="77777777" w:rsidR="007B77FE" w:rsidRDefault="007B77FE">
    <w:pPr>
      <w:pBdr>
        <w:top w:val="nil"/>
        <w:left w:val="nil"/>
        <w:bottom w:val="nil"/>
        <w:right w:val="nil"/>
        <w:between w:val="nil"/>
      </w:pBdr>
      <w:tabs>
        <w:tab w:val="center" w:pos="4320"/>
        <w:tab w:val="right" w:pos="864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FE"/>
    <w:rsid w:val="007B77FE"/>
    <w:rsid w:val="00F00C96"/>
    <w:rsid w:val="00FF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3F89"/>
  <w15:docId w15:val="{72847043-6B44-4ADE-8174-AAE85151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E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74D31"/>
    <w:pPr>
      <w:ind w:left="720"/>
      <w:contextualSpacing/>
    </w:pPr>
  </w:style>
  <w:style w:type="paragraph" w:styleId="EndnoteText">
    <w:name w:val="endnote text"/>
    <w:basedOn w:val="Normal"/>
    <w:link w:val="EndnoteTextChar"/>
    <w:uiPriority w:val="99"/>
    <w:unhideWhenUsed/>
    <w:rsid w:val="000C37DA"/>
    <w:pPr>
      <w:spacing w:after="0" w:line="240" w:lineRule="auto"/>
    </w:pPr>
    <w:rPr>
      <w:sz w:val="24"/>
      <w:szCs w:val="24"/>
    </w:rPr>
  </w:style>
  <w:style w:type="character" w:customStyle="1" w:styleId="EndnoteTextChar">
    <w:name w:val="Endnote Text Char"/>
    <w:basedOn w:val="DefaultParagraphFont"/>
    <w:link w:val="EndnoteText"/>
    <w:uiPriority w:val="99"/>
    <w:rsid w:val="000C37DA"/>
    <w:rPr>
      <w:sz w:val="24"/>
      <w:szCs w:val="24"/>
    </w:rPr>
  </w:style>
  <w:style w:type="character" w:styleId="EndnoteReference">
    <w:name w:val="endnote reference"/>
    <w:basedOn w:val="DefaultParagraphFont"/>
    <w:uiPriority w:val="99"/>
    <w:unhideWhenUsed/>
    <w:rsid w:val="000C37DA"/>
    <w:rPr>
      <w:vertAlign w:val="superscript"/>
    </w:rPr>
  </w:style>
  <w:style w:type="character" w:styleId="Hyperlink">
    <w:name w:val="Hyperlink"/>
    <w:basedOn w:val="DefaultParagraphFont"/>
    <w:uiPriority w:val="99"/>
    <w:unhideWhenUsed/>
    <w:rsid w:val="000A3EEC"/>
    <w:rPr>
      <w:color w:val="0563C1" w:themeColor="hyperlink"/>
      <w:u w:val="single"/>
    </w:rPr>
  </w:style>
  <w:style w:type="paragraph" w:styleId="Header">
    <w:name w:val="header"/>
    <w:basedOn w:val="Normal"/>
    <w:link w:val="HeaderChar"/>
    <w:uiPriority w:val="99"/>
    <w:unhideWhenUsed/>
    <w:rsid w:val="00C07E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7EFA"/>
  </w:style>
  <w:style w:type="paragraph" w:styleId="Footer">
    <w:name w:val="footer"/>
    <w:basedOn w:val="Normal"/>
    <w:link w:val="FooterChar"/>
    <w:uiPriority w:val="99"/>
    <w:unhideWhenUsed/>
    <w:rsid w:val="00C07E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7EFA"/>
  </w:style>
  <w:style w:type="paragraph" w:styleId="BalloonText">
    <w:name w:val="Balloon Text"/>
    <w:basedOn w:val="Normal"/>
    <w:link w:val="BalloonTextChar"/>
    <w:uiPriority w:val="99"/>
    <w:semiHidden/>
    <w:unhideWhenUsed/>
    <w:rsid w:val="00C07EF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7EFA"/>
    <w:rPr>
      <w:rFonts w:ascii="Lucida Grande" w:hAnsi="Lucida Grande" w:cs="Lucida Grande"/>
      <w:sz w:val="18"/>
      <w:szCs w:val="18"/>
    </w:rPr>
  </w:style>
  <w:style w:type="character" w:styleId="PageNumber">
    <w:name w:val="page number"/>
    <w:basedOn w:val="DefaultParagraphFont"/>
    <w:uiPriority w:val="99"/>
    <w:semiHidden/>
    <w:unhideWhenUsed/>
    <w:rsid w:val="003E68C3"/>
  </w:style>
  <w:style w:type="table" w:styleId="TableGrid">
    <w:name w:val="Table Grid"/>
    <w:basedOn w:val="TableNormal"/>
    <w:uiPriority w:val="39"/>
    <w:rsid w:val="0070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1CBD"/>
    <w:pPr>
      <w:autoSpaceDE w:val="0"/>
      <w:autoSpaceDN w:val="0"/>
      <w:adjustRightInd w:val="0"/>
      <w:spacing w:after="0" w:line="240" w:lineRule="auto"/>
    </w:pPr>
    <w:rPr>
      <w:rFonts w:ascii="Times New Roman MT Std" w:hAnsi="Times New Roman MT Std" w:cs="Times New Roman MT Std"/>
      <w:color w:val="000000"/>
      <w:sz w:val="24"/>
      <w:szCs w:val="24"/>
    </w:rPr>
  </w:style>
  <w:style w:type="character" w:styleId="FollowedHyperlink">
    <w:name w:val="FollowedHyperlink"/>
    <w:basedOn w:val="DefaultParagraphFont"/>
    <w:uiPriority w:val="99"/>
    <w:semiHidden/>
    <w:unhideWhenUsed/>
    <w:rsid w:val="00E80792"/>
    <w:rPr>
      <w:color w:val="954F72" w:themeColor="followedHyperlink"/>
      <w:u w:val="single"/>
    </w:rPr>
  </w:style>
  <w:style w:type="character" w:styleId="UnresolvedMention">
    <w:name w:val="Unresolved Mention"/>
    <w:basedOn w:val="DefaultParagraphFont"/>
    <w:uiPriority w:val="99"/>
    <w:semiHidden/>
    <w:unhideWhenUsed/>
    <w:rsid w:val="002323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jW-dHA52XJ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upreme.justia.com/cases/federal/us/323/21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YZirudgO5XQChNUvqkG9hQatg==">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Company>University of Central Florida</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Masyada</dc:creator>
  <cp:lastModifiedBy>Stephen Masyada</cp:lastModifiedBy>
  <cp:revision>2</cp:revision>
  <dcterms:created xsi:type="dcterms:W3CDTF">2023-09-20T14:44:00Z</dcterms:created>
  <dcterms:modified xsi:type="dcterms:W3CDTF">2025-02-06T17:20:00Z</dcterms:modified>
</cp:coreProperties>
</file>