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jc w:val="center"/>
        <w:rPr>
          <w:rFonts w:ascii="Cambria" w:cs="Cambria" w:eastAsia="Cambria" w:hAnsi="Cambria"/>
          <w:b w:val="1"/>
          <w:sz w:val="28"/>
          <w:szCs w:val="28"/>
        </w:rPr>
      </w:pPr>
      <w:r w:rsidDel="00000000" w:rsidR="00000000" w:rsidRPr="00000000">
        <w:rPr>
          <w:rFonts w:ascii="Cambria" w:cs="Cambria" w:eastAsia="Cambria" w:hAnsi="Cambria"/>
          <w:i w:val="1"/>
          <w:sz w:val="28"/>
          <w:szCs w:val="28"/>
          <w:rtl w:val="0"/>
        </w:rPr>
        <w:t xml:space="preserve">Florida Civic Literacy Support Lesson</w:t>
      </w:r>
      <w:r w:rsidDel="00000000" w:rsidR="00000000" w:rsidRPr="00000000">
        <w:rPr>
          <w:rtl w:val="0"/>
        </w:rPr>
      </w:r>
    </w:p>
    <w:p w:rsidR="00000000" w:rsidDel="00000000" w:rsidP="00000000" w:rsidRDefault="00000000" w:rsidRPr="00000000" w14:paraId="00000002">
      <w:pPr>
        <w:spacing w:after="0" w:lineRule="auto"/>
        <w:jc w:val="center"/>
        <w:rPr>
          <w:rFonts w:ascii="Cambria" w:cs="Cambria" w:eastAsia="Cambria" w:hAnsi="Cambria"/>
          <w:b w:val="1"/>
          <w:sz w:val="26"/>
          <w:szCs w:val="26"/>
        </w:rPr>
      </w:pPr>
      <w:r w:rsidDel="00000000" w:rsidR="00000000" w:rsidRPr="00000000">
        <w:rPr>
          <w:rFonts w:ascii="Cambria" w:cs="Cambria" w:eastAsia="Cambria" w:hAnsi="Cambria"/>
          <w:sz w:val="26"/>
          <w:szCs w:val="26"/>
          <w:rtl w:val="0"/>
        </w:rPr>
        <w:t xml:space="preserve">HOW DOES THE CRIMINAL JUSTICE PROCESS PROTECT THE RIGHTS OF THE ACCUSED?</w:t>
      </w:r>
      <w:r w:rsidDel="00000000" w:rsidR="00000000" w:rsidRPr="00000000">
        <w:rPr>
          <w:rtl w:val="0"/>
        </w:rPr>
      </w:r>
    </w:p>
    <w:p w:rsidR="00000000" w:rsidDel="00000000" w:rsidP="00000000" w:rsidRDefault="00000000" w:rsidRPr="00000000" w14:paraId="00000003">
      <w:pPr>
        <w:spacing w:after="0" w:lineRule="auto"/>
        <w:jc w:val="center"/>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An Activity for High School Civic Literacy Competency #</w:t>
      </w:r>
      <w:r w:rsidDel="00000000" w:rsidR="00000000" w:rsidRPr="00000000">
        <w:rPr>
          <w:rFonts w:ascii="Cambria" w:cs="Cambria" w:eastAsia="Cambria" w:hAnsi="Cambria"/>
          <w:i w:val="1"/>
          <w:sz w:val="26"/>
          <w:szCs w:val="26"/>
          <w:rtl w:val="0"/>
        </w:rPr>
        <w:t xml:space="preserve">4</w:t>
      </w:r>
      <w:r w:rsidDel="00000000" w:rsidR="00000000" w:rsidRPr="00000000">
        <w:rPr>
          <w:rtl w:val="0"/>
        </w:rPr>
      </w:r>
    </w:p>
    <w:p w:rsidR="00000000" w:rsidDel="00000000" w:rsidP="00000000" w:rsidRDefault="00000000" w:rsidRPr="00000000" w14:paraId="00000004">
      <w:pPr>
        <w:spacing w:after="0" w:lineRule="auto"/>
        <w:rPr>
          <w:rFonts w:ascii="Cambria" w:cs="Cambria" w:eastAsia="Cambria" w:hAnsi="Cambria"/>
          <w:b w:val="1"/>
          <w:i w:val="1"/>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5">
      <w:pPr>
        <w:spacing w:after="0" w:lineRule="auto"/>
        <w:rPr>
          <w:rFonts w:ascii="Cambria" w:cs="Cambria" w:eastAsia="Cambria" w:hAnsi="Cambria"/>
          <w:i w:val="1"/>
        </w:rPr>
      </w:pPr>
      <w:r w:rsidDel="00000000" w:rsidR="00000000" w:rsidRPr="00000000">
        <w:rPr>
          <w:rFonts w:ascii="Cambria" w:cs="Cambria" w:eastAsia="Cambria" w:hAnsi="Cambria"/>
          <w:i w:val="1"/>
          <w:rtl w:val="0"/>
        </w:rPr>
        <w:t xml:space="preserve">Competency 4: An understanding of landmark Supreme Court cases, landmark legislation, landmark executive actions and their impact on law and society</w:t>
      </w:r>
      <w:r w:rsidDel="00000000" w:rsidR="00000000" w:rsidRPr="00000000">
        <w:rPr>
          <w:rtl w:val="0"/>
        </w:rPr>
      </w:r>
    </w:p>
    <w:p w:rsidR="00000000" w:rsidDel="00000000" w:rsidP="00000000" w:rsidRDefault="00000000" w:rsidRPr="00000000" w14:paraId="00000006">
      <w:pPr>
        <w:spacing w:after="0" w:lineRule="auto"/>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14:paraId="00000007">
      <w:pPr>
        <w:spacing w:after="0" w:lineRule="auto"/>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Benchmark and Benchmark Clarification Correlations </w:t>
      </w:r>
    </w:p>
    <w:p w:rsidR="00000000" w:rsidDel="00000000" w:rsidP="00000000" w:rsidRDefault="00000000" w:rsidRPr="00000000" w14:paraId="00000008">
      <w:pPr>
        <w:spacing w:after="0" w:lineRule="auto"/>
        <w:rPr>
          <w:rFonts w:ascii="Cambria" w:cs="Cambria" w:eastAsia="Cambria" w:hAnsi="Cambria"/>
          <w:i w:val="1"/>
        </w:rPr>
      </w:pPr>
      <w:bookmarkStart w:colFirst="0" w:colLast="0" w:name="_heading=h.30j0zll" w:id="1"/>
      <w:bookmarkEnd w:id="1"/>
      <w:r w:rsidDel="00000000" w:rsidR="00000000" w:rsidRPr="00000000">
        <w:rPr>
          <w:rFonts w:ascii="Cambria" w:cs="Cambria" w:eastAsia="Cambria" w:hAnsi="Cambria"/>
          <w:i w:val="1"/>
          <w:rtl w:val="0"/>
        </w:rPr>
        <w:t xml:space="preserve">SS.912.CG.3.11: Evaluate how landmark Supreme Court decisions affect law, liberty, and the interpretation of the United States Constitution.</w:t>
      </w:r>
    </w:p>
    <w:p w:rsidR="00000000" w:rsidDel="00000000" w:rsidP="00000000" w:rsidRDefault="00000000" w:rsidRPr="00000000" w14:paraId="00000009">
      <w:pPr>
        <w:spacing w:after="0" w:lineRule="auto"/>
        <w:rPr>
          <w:rFonts w:ascii="Cambria" w:cs="Cambria" w:eastAsia="Cambria" w:hAnsi="Cambria"/>
          <w:b w:val="1"/>
          <w:i w:val="1"/>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1"/>
          <w:i w:val="1"/>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1"/>
          <w:smallCaps w:val="0"/>
          <w:strike w:val="0"/>
          <w:color w:val="000000"/>
          <w:sz w:val="24"/>
          <w:szCs w:val="24"/>
          <w:u w:val="none"/>
          <w:shd w:fill="auto" w:val="clear"/>
          <w:vertAlign w:val="baseline"/>
          <w:rtl w:val="0"/>
        </w:rPr>
        <w:t xml:space="preserve">Activity Documents, Materials, and Handouts</w:t>
      </w:r>
    </w:p>
    <w:p w:rsidR="00000000" w:rsidDel="00000000" w:rsidP="00000000" w:rsidRDefault="00000000" w:rsidRPr="00000000" w14:paraId="0000000B">
      <w:pPr>
        <w:spacing w:after="0" w:lineRule="auto"/>
        <w:rPr>
          <w:rFonts w:ascii="Cambria" w:cs="Cambria" w:eastAsia="Cambria" w:hAnsi="Cambria"/>
        </w:rPr>
      </w:pPr>
      <w:r w:rsidDel="00000000" w:rsidR="00000000" w:rsidRPr="00000000">
        <w:rPr>
          <w:rFonts w:ascii="Cambria" w:cs="Cambria" w:eastAsia="Cambria" w:hAnsi="Cambria"/>
          <w:rtl w:val="0"/>
        </w:rPr>
        <w:t xml:space="preserve">Background reading, Gideon v. Wainwright</w:t>
      </w:r>
    </w:p>
    <w:p w:rsidR="00000000" w:rsidDel="00000000" w:rsidP="00000000" w:rsidRDefault="00000000" w:rsidRPr="00000000" w14:paraId="0000000C">
      <w:pPr>
        <w:spacing w:after="0" w:lineRule="auto"/>
        <w:rPr>
          <w:rFonts w:ascii="Cambria" w:cs="Cambria" w:eastAsia="Cambria" w:hAnsi="Cambria"/>
        </w:rPr>
      </w:pPr>
      <w:r w:rsidDel="00000000" w:rsidR="00000000" w:rsidRPr="00000000">
        <w:rPr>
          <w:rFonts w:ascii="Cambria" w:cs="Cambria" w:eastAsia="Cambria" w:hAnsi="Cambria"/>
          <w:rtl w:val="0"/>
        </w:rPr>
        <w:t xml:space="preserve">Background reading, Miranda v. Arizona</w:t>
      </w:r>
    </w:p>
    <w:p w:rsidR="00000000" w:rsidDel="00000000" w:rsidP="00000000" w:rsidRDefault="00000000" w:rsidRPr="00000000" w14:paraId="0000000D">
      <w:pPr>
        <w:spacing w:after="0" w:lineRule="auto"/>
        <w:rPr>
          <w:rFonts w:ascii="Cambria" w:cs="Cambria" w:eastAsia="Cambria" w:hAnsi="Cambria"/>
        </w:rPr>
      </w:pPr>
      <w:r w:rsidDel="00000000" w:rsidR="00000000" w:rsidRPr="00000000">
        <w:rPr>
          <w:rFonts w:ascii="Cambria" w:cs="Cambria" w:eastAsia="Cambria" w:hAnsi="Cambria"/>
          <w:rtl w:val="0"/>
        </w:rPr>
        <w:t xml:space="preserve">Decision Summary, Gideon v. Wainwright</w:t>
      </w:r>
    </w:p>
    <w:p w:rsidR="00000000" w:rsidDel="00000000" w:rsidP="00000000" w:rsidRDefault="00000000" w:rsidRPr="00000000" w14:paraId="0000000E">
      <w:pPr>
        <w:spacing w:after="0" w:lineRule="auto"/>
        <w:rPr>
          <w:rFonts w:ascii="Cambria" w:cs="Cambria" w:eastAsia="Cambria" w:hAnsi="Cambria"/>
        </w:rPr>
      </w:pPr>
      <w:r w:rsidDel="00000000" w:rsidR="00000000" w:rsidRPr="00000000">
        <w:rPr>
          <w:rFonts w:ascii="Cambria" w:cs="Cambria" w:eastAsia="Cambria" w:hAnsi="Cambria"/>
          <w:rtl w:val="0"/>
        </w:rPr>
        <w:t xml:space="preserve">Decision Summary, Miranda v. Arizona</w:t>
      </w:r>
    </w:p>
    <w:p w:rsidR="00000000" w:rsidDel="00000000" w:rsidP="00000000" w:rsidRDefault="00000000" w:rsidRPr="00000000" w14:paraId="0000000F">
      <w:pPr>
        <w:spacing w:after="0" w:lineRule="auto"/>
        <w:rPr>
          <w:rFonts w:ascii="Cambria" w:cs="Cambria" w:eastAsia="Cambria" w:hAnsi="Cambria"/>
        </w:rPr>
      </w:pPr>
      <w:r w:rsidDel="00000000" w:rsidR="00000000" w:rsidRPr="00000000">
        <w:rPr>
          <w:rFonts w:ascii="Cambria" w:cs="Cambria" w:eastAsia="Cambria" w:hAnsi="Cambria"/>
          <w:rtl w:val="0"/>
        </w:rPr>
        <w:t xml:space="preserve">Supreme Court case graphic organizer</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spacing w:after="0" w:lineRule="auto"/>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Activity Vocabulary </w:t>
      </w:r>
    </w:p>
    <w:tbl>
      <w:tblPr>
        <w:tblStyle w:val="Table1"/>
        <w:tblW w:w="1081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18"/>
        <w:tblGridChange w:id="0">
          <w:tblGrid>
            <w:gridCol w:w="10818"/>
          </w:tblGrid>
        </w:tblGridChange>
      </w:tblGrid>
      <w:tr>
        <w:trPr>
          <w:cantSplit w:val="0"/>
          <w:trHeight w:val="503" w:hRule="atLeast"/>
          <w:tblHeader w:val="0"/>
        </w:trPr>
        <w:tc>
          <w:tcPr/>
          <w:p w:rsidR="00000000" w:rsidDel="00000000" w:rsidP="00000000" w:rsidRDefault="00000000" w:rsidRPr="00000000" w14:paraId="00000012">
            <w:pPr>
              <w:rPr>
                <w:rFonts w:ascii="Cambria" w:cs="Cambria" w:eastAsia="Cambria" w:hAnsi="Cambria"/>
              </w:rPr>
            </w:pPr>
            <w:r w:rsidDel="00000000" w:rsidR="00000000" w:rsidRPr="00000000">
              <w:rPr>
                <w:rFonts w:ascii="Cambria" w:cs="Cambria" w:eastAsia="Cambria" w:hAnsi="Cambria"/>
                <w:rtl w:val="0"/>
              </w:rPr>
              <w:t xml:space="preserve">Accuse</w:t>
            </w:r>
          </w:p>
          <w:p w:rsidR="00000000" w:rsidDel="00000000" w:rsidP="00000000" w:rsidRDefault="00000000" w:rsidRPr="00000000" w14:paraId="00000013">
            <w:pPr>
              <w:rPr>
                <w:rFonts w:ascii="Cambria" w:cs="Cambria" w:eastAsia="Cambria" w:hAnsi="Cambria"/>
              </w:rPr>
            </w:pPr>
            <w:r w:rsidDel="00000000" w:rsidR="00000000" w:rsidRPr="00000000">
              <w:rPr>
                <w:rFonts w:ascii="Cambria" w:cs="Cambria" w:eastAsia="Cambria" w:hAnsi="Cambria"/>
                <w:rtl w:val="0"/>
              </w:rPr>
              <w:t xml:space="preserve">Appeal</w:t>
            </w:r>
          </w:p>
          <w:p w:rsidR="00000000" w:rsidDel="00000000" w:rsidP="00000000" w:rsidRDefault="00000000" w:rsidRPr="00000000" w14:paraId="00000014">
            <w:pPr>
              <w:rPr>
                <w:rFonts w:ascii="Cambria" w:cs="Cambria" w:eastAsia="Cambria" w:hAnsi="Cambria"/>
              </w:rPr>
            </w:pPr>
            <w:r w:rsidDel="00000000" w:rsidR="00000000" w:rsidRPr="00000000">
              <w:rPr>
                <w:rFonts w:ascii="Cambria" w:cs="Cambria" w:eastAsia="Cambria" w:hAnsi="Cambria"/>
                <w:rtl w:val="0"/>
              </w:rPr>
              <w:t xml:space="preserve">Confession</w:t>
            </w:r>
          </w:p>
          <w:p w:rsidR="00000000" w:rsidDel="00000000" w:rsidP="00000000" w:rsidRDefault="00000000" w:rsidRPr="00000000" w14:paraId="00000015">
            <w:pPr>
              <w:rPr>
                <w:rFonts w:ascii="Cambria" w:cs="Cambria" w:eastAsia="Cambria" w:hAnsi="Cambria"/>
              </w:rPr>
            </w:pPr>
            <w:r w:rsidDel="00000000" w:rsidR="00000000" w:rsidRPr="00000000">
              <w:rPr>
                <w:rFonts w:ascii="Cambria" w:cs="Cambria" w:eastAsia="Cambria" w:hAnsi="Cambria"/>
                <w:rtl w:val="0"/>
              </w:rPr>
              <w:t xml:space="preserve">Entitled</w:t>
            </w:r>
          </w:p>
          <w:p w:rsidR="00000000" w:rsidDel="00000000" w:rsidP="00000000" w:rsidRDefault="00000000" w:rsidRPr="00000000" w14:paraId="00000016">
            <w:pPr>
              <w:rPr>
                <w:rFonts w:ascii="Cambria" w:cs="Cambria" w:eastAsia="Cambria" w:hAnsi="Cambria"/>
              </w:rPr>
            </w:pPr>
            <w:r w:rsidDel="00000000" w:rsidR="00000000" w:rsidRPr="00000000">
              <w:rPr>
                <w:rFonts w:ascii="Cambria" w:cs="Cambria" w:eastAsia="Cambria" w:hAnsi="Cambria"/>
                <w:rtl w:val="0"/>
              </w:rPr>
              <w:t xml:space="preserve">Felony</w:t>
            </w:r>
          </w:p>
          <w:p w:rsidR="00000000" w:rsidDel="00000000" w:rsidP="00000000" w:rsidRDefault="00000000" w:rsidRPr="00000000" w14:paraId="00000017">
            <w:pPr>
              <w:rPr>
                <w:rFonts w:ascii="Cambria" w:cs="Cambria" w:eastAsia="Cambria" w:hAnsi="Cambria"/>
              </w:rPr>
            </w:pPr>
            <w:r w:rsidDel="00000000" w:rsidR="00000000" w:rsidRPr="00000000">
              <w:rPr>
                <w:rFonts w:ascii="Cambria" w:cs="Cambria" w:eastAsia="Cambria" w:hAnsi="Cambria"/>
                <w:rtl w:val="0"/>
              </w:rPr>
              <w:t xml:space="preserve">Indigent</w:t>
            </w:r>
          </w:p>
          <w:p w:rsidR="00000000" w:rsidDel="00000000" w:rsidP="00000000" w:rsidRDefault="00000000" w:rsidRPr="00000000" w14:paraId="00000018">
            <w:pPr>
              <w:rPr>
                <w:rFonts w:ascii="Cambria" w:cs="Cambria" w:eastAsia="Cambria" w:hAnsi="Cambria"/>
              </w:rPr>
            </w:pPr>
            <w:r w:rsidDel="00000000" w:rsidR="00000000" w:rsidRPr="00000000">
              <w:rPr>
                <w:rFonts w:ascii="Cambria" w:cs="Cambria" w:eastAsia="Cambria" w:hAnsi="Cambria"/>
                <w:rtl w:val="0"/>
              </w:rPr>
              <w:t xml:space="preserve">Interrogate</w:t>
            </w:r>
          </w:p>
          <w:p w:rsidR="00000000" w:rsidDel="00000000" w:rsidP="00000000" w:rsidRDefault="00000000" w:rsidRPr="00000000" w14:paraId="00000019">
            <w:pPr>
              <w:rPr>
                <w:rFonts w:ascii="Cambria" w:cs="Cambria" w:eastAsia="Cambria" w:hAnsi="Cambria"/>
              </w:rPr>
            </w:pPr>
            <w:r w:rsidDel="00000000" w:rsidR="00000000" w:rsidRPr="00000000">
              <w:rPr>
                <w:rFonts w:ascii="Cambria" w:cs="Cambria" w:eastAsia="Cambria" w:hAnsi="Cambria"/>
                <w:rtl w:val="0"/>
              </w:rPr>
              <w:t xml:space="preserve">Legal defense</w:t>
            </w:r>
          </w:p>
          <w:p w:rsidR="00000000" w:rsidDel="00000000" w:rsidP="00000000" w:rsidRDefault="00000000" w:rsidRPr="00000000" w14:paraId="0000001A">
            <w:pPr>
              <w:rPr>
                <w:rFonts w:ascii="Cambria" w:cs="Cambria" w:eastAsia="Cambria" w:hAnsi="Cambria"/>
              </w:rPr>
            </w:pPr>
            <w:r w:rsidDel="00000000" w:rsidR="00000000" w:rsidRPr="00000000">
              <w:rPr>
                <w:rFonts w:ascii="Cambria" w:cs="Cambria" w:eastAsia="Cambria" w:hAnsi="Cambria"/>
                <w:rtl w:val="0"/>
              </w:rPr>
              <w:t xml:space="preserve">Self-incrimination</w:t>
            </w:r>
          </w:p>
          <w:p w:rsidR="00000000" w:rsidDel="00000000" w:rsidP="00000000" w:rsidRDefault="00000000" w:rsidRPr="00000000" w14:paraId="0000001B">
            <w:pPr>
              <w:rPr>
                <w:rFonts w:ascii="Cambria" w:cs="Cambria" w:eastAsia="Cambria" w:hAnsi="Cambria"/>
              </w:rPr>
            </w:pPr>
            <w:r w:rsidDel="00000000" w:rsidR="00000000" w:rsidRPr="00000000">
              <w:rPr>
                <w:rFonts w:ascii="Cambria" w:cs="Cambria" w:eastAsia="Cambria" w:hAnsi="Cambria"/>
                <w:rtl w:val="0"/>
              </w:rPr>
              <w:t xml:space="preserve">Witness</w:t>
            </w:r>
          </w:p>
        </w:tc>
      </w:tr>
    </w:tbl>
    <w:p w:rsidR="00000000" w:rsidDel="00000000" w:rsidP="00000000" w:rsidRDefault="00000000" w:rsidRPr="00000000" w14:paraId="0000001C">
      <w:pPr>
        <w:spacing w:after="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1"/>
          <w:i w:val="1"/>
          <w:smallCaps w:val="0"/>
          <w:strike w:val="0"/>
          <w:color w:val="000000"/>
          <w:sz w:val="26"/>
          <w:szCs w:val="26"/>
          <w:u w:val="none"/>
          <w:shd w:fill="auto" w:val="clear"/>
          <w:vertAlign w:val="baseline"/>
        </w:rPr>
      </w:pPr>
      <w:r w:rsidDel="00000000" w:rsidR="00000000" w:rsidRPr="00000000">
        <w:rPr>
          <w:rFonts w:ascii="Cambria" w:cs="Cambria" w:eastAsia="Cambria" w:hAnsi="Cambria"/>
          <w:b w:val="1"/>
          <w:i w:val="1"/>
          <w:smallCaps w:val="0"/>
          <w:strike w:val="0"/>
          <w:color w:val="000000"/>
          <w:sz w:val="26"/>
          <w:szCs w:val="26"/>
          <w:u w:val="none"/>
          <w:shd w:fill="auto" w:val="clear"/>
          <w:vertAlign w:val="baseline"/>
          <w:rtl w:val="0"/>
        </w:rPr>
        <w:t xml:space="preserve">Teacher Note</w:t>
      </w:r>
    </w:p>
    <w:p w:rsidR="00000000" w:rsidDel="00000000" w:rsidP="00000000" w:rsidRDefault="00000000" w:rsidRPr="00000000" w14:paraId="0000001E">
      <w:pPr>
        <w:spacing w:after="0" w:lineRule="auto"/>
        <w:rPr>
          <w:rFonts w:ascii="Cambria" w:cs="Cambria" w:eastAsia="Cambria" w:hAnsi="Cambria"/>
        </w:rPr>
      </w:pPr>
      <w:r w:rsidDel="00000000" w:rsidR="00000000" w:rsidRPr="00000000">
        <w:rPr>
          <w:rFonts w:ascii="Cambria" w:cs="Cambria" w:eastAsia="Cambria" w:hAnsi="Cambria"/>
          <w:rtl w:val="0"/>
        </w:rPr>
        <w:t xml:space="preserve">Students will be placed in four groups of four.  Each half will research either</w:t>
      </w:r>
      <w:r w:rsidDel="00000000" w:rsidR="00000000" w:rsidRPr="00000000">
        <w:rPr>
          <w:rFonts w:ascii="Cambria" w:cs="Cambria" w:eastAsia="Cambria" w:hAnsi="Cambria"/>
          <w:i w:val="1"/>
          <w:rtl w:val="0"/>
        </w:rPr>
        <w:t xml:space="preserve"> Miranda v. Arizona</w:t>
      </w:r>
      <w:r w:rsidDel="00000000" w:rsidR="00000000" w:rsidRPr="00000000">
        <w:rPr>
          <w:rFonts w:ascii="Cambria" w:cs="Cambria" w:eastAsia="Cambria" w:hAnsi="Cambria"/>
          <w:rtl w:val="0"/>
        </w:rPr>
        <w:t xml:space="preserve"> or </w:t>
      </w:r>
      <w:r w:rsidDel="00000000" w:rsidR="00000000" w:rsidRPr="00000000">
        <w:rPr>
          <w:rFonts w:ascii="Cambria" w:cs="Cambria" w:eastAsia="Cambria" w:hAnsi="Cambria"/>
          <w:i w:val="1"/>
          <w:rtl w:val="0"/>
        </w:rPr>
        <w:t xml:space="preserve">Gideon v. Wainwright</w:t>
      </w:r>
      <w:r w:rsidDel="00000000" w:rsidR="00000000" w:rsidRPr="00000000">
        <w:rPr>
          <w:rFonts w:ascii="Cambria" w:cs="Cambria" w:eastAsia="Cambria" w:hAnsi="Cambria"/>
          <w:rtl w:val="0"/>
        </w:rPr>
        <w:t xml:space="preserv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rPr>
          <w:rFonts w:ascii="Cambria" w:cs="Cambria" w:eastAsia="Cambria" w:hAnsi="Cambria"/>
          <w:b w:val="1"/>
          <w:sz w:val="12"/>
          <w:szCs w:val="12"/>
        </w:rPr>
      </w:pPr>
      <w:r w:rsidDel="00000000" w:rsidR="00000000" w:rsidRPr="00000000">
        <w:br w:type="page"/>
      </w:r>
      <w:r w:rsidDel="00000000" w:rsidR="00000000" w:rsidRPr="00000000">
        <w:rPr>
          <w:rtl w:val="0"/>
        </w:rPr>
      </w:r>
    </w:p>
    <w:p w:rsidR="00000000" w:rsidDel="00000000" w:rsidP="00000000" w:rsidRDefault="00000000" w:rsidRPr="00000000" w14:paraId="00000021">
      <w:pPr>
        <w:spacing w:after="0" w:lineRule="auto"/>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Lesson Steps</w:t>
      </w:r>
    </w:p>
    <w:p w:rsidR="00000000" w:rsidDel="00000000" w:rsidP="00000000" w:rsidRDefault="00000000" w:rsidRPr="00000000" w14:paraId="00000022">
      <w:pPr>
        <w:rPr>
          <w:rFonts w:ascii="Cambria" w:cs="Cambria" w:eastAsia="Cambria" w:hAnsi="Cambria"/>
          <w:b w:val="1"/>
          <w:sz w:val="12"/>
          <w:szCs w:val="12"/>
        </w:rPr>
      </w:pPr>
      <w:r w:rsidDel="00000000" w:rsidR="00000000" w:rsidRPr="00000000">
        <w:rPr>
          <w:rtl w:val="0"/>
        </w:rPr>
      </w:r>
    </w:p>
    <w:p w:rsidR="00000000" w:rsidDel="00000000" w:rsidP="00000000" w:rsidRDefault="00000000" w:rsidRPr="00000000" w14:paraId="00000023">
      <w:pPr>
        <w:numPr>
          <w:ilvl w:val="0"/>
          <w:numId w:val="2"/>
        </w:numPr>
        <w:spacing w:after="0" w:afterAutospacing="0"/>
        <w:ind w:left="720" w:hanging="36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Students will be placed into four groups of four.  Once they are in their groups they will work on the vocabulary for the lesson.  They will then begin with the background reading for their assigned case.  They will complete a graphic organizer that includes questions as they meet in their group.   </w:t>
      </w:r>
    </w:p>
    <w:p w:rsidR="00000000" w:rsidDel="00000000" w:rsidP="00000000" w:rsidRDefault="00000000" w:rsidRPr="00000000" w14:paraId="00000024">
      <w:pPr>
        <w:numPr>
          <w:ilvl w:val="0"/>
          <w:numId w:val="2"/>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After completing their research and completing their graphic organizers, the teacher will lead a class discussion or debate focusing on the U.S. Supreme Court case that they researched.  </w:t>
      </w:r>
      <w:r w:rsidDel="00000000" w:rsidR="00000000" w:rsidRPr="00000000">
        <w:rPr>
          <w:rtl w:val="0"/>
        </w:rPr>
      </w:r>
    </w:p>
    <w:p w:rsidR="00000000" w:rsidDel="00000000" w:rsidP="00000000" w:rsidRDefault="00000000" w:rsidRPr="00000000" w14:paraId="00000025">
      <w:pPr>
        <w:spacing w:after="0" w:line="240" w:lineRule="auto"/>
        <w:jc w:val="left"/>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26">
      <w:pPr>
        <w:spacing w:after="0" w:line="240" w:lineRule="auto"/>
        <w:jc w:val="center"/>
        <w:rPr>
          <w:rFonts w:ascii="Cambria" w:cs="Cambria" w:eastAsia="Cambria" w:hAnsi="Cambria"/>
          <w:sz w:val="28"/>
          <w:szCs w:val="28"/>
        </w:rPr>
      </w:pPr>
      <w:bookmarkStart w:colFirst="0" w:colLast="0" w:name="_heading=h.1fob9te" w:id="2"/>
      <w:bookmarkEnd w:id="2"/>
      <w:r w:rsidDel="00000000" w:rsidR="00000000" w:rsidRPr="00000000">
        <w:rPr>
          <w:rFonts w:ascii="Cambria" w:cs="Cambria" w:eastAsia="Cambria" w:hAnsi="Cambria"/>
          <w:b w:val="1"/>
          <w:sz w:val="28"/>
          <w:szCs w:val="28"/>
          <w:rtl w:val="0"/>
        </w:rPr>
        <w:t xml:space="preserve">Teacher Background Information</w:t>
      </w:r>
      <w:r w:rsidDel="00000000" w:rsidR="00000000" w:rsidRPr="00000000">
        <w:rPr>
          <w:rtl w:val="0"/>
        </w:rPr>
      </w:r>
    </w:p>
    <w:p w:rsidR="00000000" w:rsidDel="00000000" w:rsidP="00000000" w:rsidRDefault="00000000" w:rsidRPr="00000000" w14:paraId="00000027">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What content does the teacher need to know to teach this lesson effectively?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7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sz w:val="24"/>
          <w:szCs w:val="24"/>
          <w:rtl w:val="0"/>
        </w:rPr>
        <w:t xml:space="preserve">Recognize landmark U.S. Supreme Court cases</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7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sz w:val="24"/>
          <w:szCs w:val="24"/>
          <w:rtl w:val="0"/>
        </w:rPr>
        <w:t xml:space="preserve">Understand the constitutional issues underlying landmark U.S. Supreme Court decisions related to the U.S. Bill of Rights and later amendments. </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7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sz w:val="24"/>
          <w:szCs w:val="24"/>
          <w:rtl w:val="0"/>
        </w:rPr>
        <w:t xml:space="preserve">Recall the outcomes of landmark U.S. Supreme Court cases related to the U.S. Bill of Rights and later amendments. </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864" w:top="864" w:left="864" w:right="864" w:header="720" w:footer="432"/>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jc w:val="center"/>
      <w:rPr/>
    </w:pPr>
    <w:r w:rsidDel="00000000" w:rsidR="00000000" w:rsidRPr="00000000">
      <w:rPr/>
      <w:drawing>
        <wp:inline distB="0" distT="0" distL="0" distR="0">
          <wp:extent cx="913383" cy="929655"/>
          <wp:effectExtent b="0" l="0" r="0" t="0"/>
          <wp:docPr descr="Macintosh HD:Users:vmcvey:Desktop:FJCC LFI:Logos:FJCC Logos:Circle_FJCC_Logo.png" id="18" name="image2.png"/>
          <a:graphic>
            <a:graphicData uri="http://schemas.openxmlformats.org/drawingml/2006/picture">
              <pic:pic>
                <pic:nvPicPr>
                  <pic:cNvPr descr="Macintosh HD:Users:vmcvey:Desktop:FJCC LFI:Logos:FJCC Logos:Circle_FJCC_Logo.png" id="0" name="image2.png"/>
                  <pic:cNvPicPr preferRelativeResize="0"/>
                </pic:nvPicPr>
                <pic:blipFill>
                  <a:blip r:embed="rId1"/>
                  <a:srcRect b="0" l="0" r="0" t="0"/>
                  <a:stretch>
                    <a:fillRect/>
                  </a:stretch>
                </pic:blipFill>
                <pic:spPr>
                  <a:xfrm>
                    <a:off x="0" y="0"/>
                    <a:ext cx="913383" cy="929655"/>
                  </a:xfrm>
                  <a:prstGeom prst="rect"/>
                  <a:ln/>
                </pic:spPr>
              </pic:pic>
            </a:graphicData>
          </a:graphic>
        </wp:inline>
      </w:drawing>
    </w:r>
    <w:r w:rsidDel="00000000" w:rsidR="00000000" w:rsidRPr="00000000">
      <w:rPr>
        <w:rtl w:val="0"/>
      </w:rPr>
      <w:t xml:space="preserve">    </w:t>
    </w:r>
    <w:r w:rsidDel="00000000" w:rsidR="00000000" w:rsidRPr="00000000">
      <w:rPr/>
      <w:drawing>
        <wp:inline distB="0" distT="0" distL="0" distR="0">
          <wp:extent cx="989910" cy="920125"/>
          <wp:effectExtent b="0" l="0" r="0" t="0"/>
          <wp:docPr descr="Macintosh HD:Users:vmcvey:Desktop:NARA:NARA 2015-2016:SIPS logos:NARA logo.tif" id="19" name="image1.png"/>
          <a:graphic>
            <a:graphicData uri="http://schemas.openxmlformats.org/drawingml/2006/picture">
              <pic:pic>
                <pic:nvPicPr>
                  <pic:cNvPr descr="Macintosh HD:Users:vmcvey:Desktop:NARA:NARA 2015-2016:SIPS logos:NARA logo.tif" id="0" name="image1.png"/>
                  <pic:cNvPicPr preferRelativeResize="0"/>
                </pic:nvPicPr>
                <pic:blipFill>
                  <a:blip r:embed="rId2"/>
                  <a:srcRect b="0" l="0" r="0" t="0"/>
                  <a:stretch>
                    <a:fillRect/>
                  </a:stretch>
                </pic:blipFill>
                <pic:spPr>
                  <a:xfrm>
                    <a:off x="0" y="0"/>
                    <a:ext cx="989910" cy="920125"/>
                  </a:xfrm>
                  <a:prstGeom prst="rect"/>
                  <a:ln/>
                </pic:spPr>
              </pic:pic>
            </a:graphicData>
          </a:graphic>
        </wp:inline>
      </w:drawing>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547E8"/>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D74D31"/>
    <w:pPr>
      <w:ind w:left="720"/>
      <w:contextualSpacing w:val="1"/>
    </w:pPr>
  </w:style>
  <w:style w:type="paragraph" w:styleId="EndnoteText">
    <w:name w:val="endnote text"/>
    <w:basedOn w:val="Normal"/>
    <w:link w:val="EndnoteTextChar"/>
    <w:uiPriority w:val="99"/>
    <w:unhideWhenUsed w:val="1"/>
    <w:rsid w:val="000C37DA"/>
    <w:pPr>
      <w:spacing w:after="0" w:line="240" w:lineRule="auto"/>
    </w:pPr>
    <w:rPr>
      <w:sz w:val="24"/>
      <w:szCs w:val="24"/>
    </w:rPr>
  </w:style>
  <w:style w:type="character" w:styleId="EndnoteTextChar" w:customStyle="1">
    <w:name w:val="Endnote Text Char"/>
    <w:basedOn w:val="DefaultParagraphFont"/>
    <w:link w:val="EndnoteText"/>
    <w:uiPriority w:val="99"/>
    <w:rsid w:val="000C37DA"/>
    <w:rPr>
      <w:sz w:val="24"/>
      <w:szCs w:val="24"/>
    </w:rPr>
  </w:style>
  <w:style w:type="character" w:styleId="EndnoteReference">
    <w:name w:val="endnote reference"/>
    <w:basedOn w:val="DefaultParagraphFont"/>
    <w:uiPriority w:val="99"/>
    <w:unhideWhenUsed w:val="1"/>
    <w:rsid w:val="000C37DA"/>
    <w:rPr>
      <w:vertAlign w:val="superscript"/>
    </w:rPr>
  </w:style>
  <w:style w:type="character" w:styleId="Hyperlink">
    <w:name w:val="Hyperlink"/>
    <w:basedOn w:val="DefaultParagraphFont"/>
    <w:uiPriority w:val="99"/>
    <w:unhideWhenUsed w:val="1"/>
    <w:rsid w:val="000A3EEC"/>
    <w:rPr>
      <w:color w:val="0563c1" w:themeColor="hyperlink"/>
      <w:u w:val="single"/>
    </w:rPr>
  </w:style>
  <w:style w:type="paragraph" w:styleId="Header">
    <w:name w:val="header"/>
    <w:basedOn w:val="Normal"/>
    <w:link w:val="HeaderChar"/>
    <w:uiPriority w:val="99"/>
    <w:unhideWhenUsed w:val="1"/>
    <w:rsid w:val="00C07EFA"/>
    <w:pPr>
      <w:tabs>
        <w:tab w:val="center" w:pos="4320"/>
        <w:tab w:val="right" w:pos="8640"/>
      </w:tabs>
      <w:spacing w:after="0" w:line="240" w:lineRule="auto"/>
    </w:pPr>
  </w:style>
  <w:style w:type="character" w:styleId="HeaderChar" w:customStyle="1">
    <w:name w:val="Header Char"/>
    <w:basedOn w:val="DefaultParagraphFont"/>
    <w:link w:val="Header"/>
    <w:uiPriority w:val="99"/>
    <w:rsid w:val="00C07EFA"/>
  </w:style>
  <w:style w:type="paragraph" w:styleId="Footer">
    <w:name w:val="footer"/>
    <w:basedOn w:val="Normal"/>
    <w:link w:val="FooterChar"/>
    <w:uiPriority w:val="99"/>
    <w:unhideWhenUsed w:val="1"/>
    <w:rsid w:val="00C07EFA"/>
    <w:pPr>
      <w:tabs>
        <w:tab w:val="center" w:pos="4320"/>
        <w:tab w:val="right" w:pos="8640"/>
      </w:tabs>
      <w:spacing w:after="0" w:line="240" w:lineRule="auto"/>
    </w:pPr>
  </w:style>
  <w:style w:type="character" w:styleId="FooterChar" w:customStyle="1">
    <w:name w:val="Footer Char"/>
    <w:basedOn w:val="DefaultParagraphFont"/>
    <w:link w:val="Footer"/>
    <w:uiPriority w:val="99"/>
    <w:rsid w:val="00C07EFA"/>
  </w:style>
  <w:style w:type="paragraph" w:styleId="BalloonText">
    <w:name w:val="Balloon Text"/>
    <w:basedOn w:val="Normal"/>
    <w:link w:val="BalloonTextChar"/>
    <w:uiPriority w:val="99"/>
    <w:semiHidden w:val="1"/>
    <w:unhideWhenUsed w:val="1"/>
    <w:rsid w:val="00C07EFA"/>
    <w:pPr>
      <w:spacing w:after="0" w:line="240" w:lineRule="auto"/>
    </w:pPr>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C07EFA"/>
    <w:rPr>
      <w:rFonts w:ascii="Lucida Grande" w:cs="Lucida Grande" w:hAnsi="Lucida Grande"/>
      <w:sz w:val="18"/>
      <w:szCs w:val="18"/>
    </w:rPr>
  </w:style>
  <w:style w:type="character" w:styleId="PageNumber">
    <w:name w:val="page number"/>
    <w:basedOn w:val="DefaultParagraphFont"/>
    <w:uiPriority w:val="99"/>
    <w:semiHidden w:val="1"/>
    <w:unhideWhenUsed w:val="1"/>
    <w:rsid w:val="003E68C3"/>
  </w:style>
  <w:style w:type="table" w:styleId="TableGrid">
    <w:name w:val="Table Grid"/>
    <w:basedOn w:val="TableNormal"/>
    <w:uiPriority w:val="39"/>
    <w:rsid w:val="007034F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441CBD"/>
    <w:pPr>
      <w:autoSpaceDE w:val="0"/>
      <w:autoSpaceDN w:val="0"/>
      <w:adjustRightInd w:val="0"/>
      <w:spacing w:after="0" w:line="240" w:lineRule="auto"/>
    </w:pPr>
    <w:rPr>
      <w:rFonts w:ascii="Times New Roman MT Std" w:cs="Times New Roman MT Std" w:eastAsia="Calibri" w:hAnsi="Times New Roman MT Std"/>
      <w:color w:val="000000"/>
      <w:sz w:val="24"/>
      <w:szCs w:val="24"/>
    </w:rPr>
  </w:style>
  <w:style w:type="character" w:styleId="FollowedHyperlink">
    <w:name w:val="FollowedHyperlink"/>
    <w:basedOn w:val="DefaultParagraphFont"/>
    <w:uiPriority w:val="99"/>
    <w:semiHidden w:val="1"/>
    <w:unhideWhenUsed w:val="1"/>
    <w:rsid w:val="00E80792"/>
    <w:rPr>
      <w:color w:val="954f72" w:themeColor="followedHyperlink"/>
      <w:u w:val="single"/>
    </w:rPr>
  </w:style>
  <w:style w:type="character" w:styleId="UnresolvedMention">
    <w:name w:val="Unresolved Mention"/>
    <w:basedOn w:val="DefaultParagraphFont"/>
    <w:uiPriority w:val="99"/>
    <w:semiHidden w:val="1"/>
    <w:unhideWhenUsed w:val="1"/>
    <w:rsid w:val="000A5D00"/>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0p17N31e99IK1Df82CUKhif/+ZQ==">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2023-09-20T17:45:00Z</dcterms:created>
  <dc:creator>Stephen Masyada</dc:creator>
</cp:coreProperties>
</file>