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Cambria" w:cs="Cambria" w:eastAsia="Cambria" w:hAnsi="Cambria"/>
          <w:b w:val="1"/>
          <w:sz w:val="28"/>
          <w:szCs w:val="28"/>
        </w:rPr>
      </w:pPr>
      <w:r w:rsidDel="00000000" w:rsidR="00000000" w:rsidRPr="00000000">
        <w:rPr>
          <w:rFonts w:ascii="Cambria" w:cs="Cambria" w:eastAsia="Cambria" w:hAnsi="Cambria"/>
          <w:i w:val="1"/>
          <w:sz w:val="28"/>
          <w:szCs w:val="28"/>
          <w:rtl w:val="0"/>
        </w:rPr>
        <w:t xml:space="preserve">Florida Civic Literacy Support Lesson</w:t>
      </w:r>
      <w:r w:rsidDel="00000000" w:rsidR="00000000" w:rsidRPr="00000000">
        <w:rPr>
          <w:rtl w:val="0"/>
        </w:rPr>
      </w:r>
    </w:p>
    <w:p w:rsidR="00000000" w:rsidDel="00000000" w:rsidP="00000000" w:rsidRDefault="00000000" w:rsidRPr="00000000" w14:paraId="00000002">
      <w:pPr>
        <w:spacing w:after="0" w:lineRule="auto"/>
        <w:jc w:val="center"/>
        <w:rPr>
          <w:rFonts w:ascii="Cambria" w:cs="Cambria" w:eastAsia="Cambria" w:hAnsi="Cambria"/>
          <w:b w:val="1"/>
          <w:sz w:val="26"/>
          <w:szCs w:val="26"/>
        </w:rPr>
      </w:pPr>
      <w:r w:rsidDel="00000000" w:rsidR="00000000" w:rsidRPr="00000000">
        <w:rPr>
          <w:rFonts w:ascii="Cambria" w:cs="Cambria" w:eastAsia="Cambria" w:hAnsi="Cambria"/>
          <w:sz w:val="26"/>
          <w:szCs w:val="26"/>
          <w:rtl w:val="0"/>
        </w:rPr>
        <w:t xml:space="preserve">How has the U.S. Supreme Court ruled on First Amendment Free Speech Challenges? </w:t>
      </w:r>
      <w:r w:rsidDel="00000000" w:rsidR="00000000" w:rsidRPr="00000000">
        <w:rPr>
          <w:rtl w:val="0"/>
        </w:rPr>
      </w:r>
    </w:p>
    <w:p w:rsidR="00000000" w:rsidDel="00000000" w:rsidP="00000000" w:rsidRDefault="00000000" w:rsidRPr="00000000" w14:paraId="00000003">
      <w:pPr>
        <w:spacing w:after="0" w:lineRule="auto"/>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An Activity for High School Civic Literacy Competency #4 </w:t>
      </w:r>
      <w:r w:rsidDel="00000000" w:rsidR="00000000" w:rsidRPr="00000000">
        <w:rPr>
          <w:rFonts w:ascii="Cambria" w:cs="Cambria" w:eastAsia="Cambria" w:hAnsi="Cambria"/>
          <w:i w:val="1"/>
          <w:sz w:val="26"/>
          <w:szCs w:val="26"/>
          <w:rtl w:val="0"/>
        </w:rPr>
        <w:tab/>
      </w:r>
      <w:r w:rsidDel="00000000" w:rsidR="00000000" w:rsidRPr="00000000">
        <w:rPr>
          <w:rtl w:val="0"/>
        </w:rPr>
      </w:r>
    </w:p>
    <w:p w:rsidR="00000000" w:rsidDel="00000000" w:rsidP="00000000" w:rsidRDefault="00000000" w:rsidRPr="00000000" w14:paraId="00000004">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5">
      <w:pPr>
        <w:spacing w:after="0" w:lineRule="auto"/>
        <w:rPr>
          <w:rFonts w:ascii="Cambria" w:cs="Cambria" w:eastAsia="Cambria" w:hAnsi="Cambria"/>
          <w:b w:val="1"/>
          <w:i w:val="1"/>
        </w:rPr>
      </w:pPr>
      <w:bookmarkStart w:colFirst="0" w:colLast="0" w:name="_heading=h.gjdgxs" w:id="0"/>
      <w:bookmarkEnd w:id="0"/>
      <w:r w:rsidDel="00000000" w:rsidR="00000000" w:rsidRPr="00000000">
        <w:rPr>
          <w:rFonts w:ascii="Cambria" w:cs="Cambria" w:eastAsia="Cambria" w:hAnsi="Cambria"/>
          <w:b w:val="1"/>
          <w:i w:val="1"/>
          <w:sz w:val="24"/>
          <w:szCs w:val="24"/>
          <w:rtl w:val="0"/>
        </w:rPr>
        <w:t xml:space="preserve">C</w:t>
      </w:r>
      <w:r w:rsidDel="00000000" w:rsidR="00000000" w:rsidRPr="00000000">
        <w:rPr>
          <w:rFonts w:ascii="Cambria" w:cs="Cambria" w:eastAsia="Cambria" w:hAnsi="Cambria"/>
          <w:b w:val="1"/>
          <w:i w:val="1"/>
          <w:rtl w:val="0"/>
        </w:rPr>
        <w:t xml:space="preserve">ompetency #4</w:t>
      </w:r>
    </w:p>
    <w:p w:rsidR="00000000" w:rsidDel="00000000" w:rsidP="00000000" w:rsidRDefault="00000000" w:rsidRPr="00000000" w14:paraId="00000006">
      <w:pPr>
        <w:spacing w:after="0" w:lineRule="auto"/>
        <w:rPr>
          <w:rFonts w:ascii="Cambria" w:cs="Cambria" w:eastAsia="Cambria" w:hAnsi="Cambria"/>
        </w:rPr>
      </w:pPr>
      <w:r w:rsidDel="00000000" w:rsidR="00000000" w:rsidRPr="00000000">
        <w:rPr>
          <w:rFonts w:ascii="Cambria" w:cs="Cambria" w:eastAsia="Cambria" w:hAnsi="Cambria"/>
          <w:rtl w:val="0"/>
        </w:rPr>
        <w:t xml:space="preserve">Understanding of landmark Supreme Court cases, landmark legislation, and landmark executive actions and their impact on law and society.</w:t>
      </w:r>
    </w:p>
    <w:p w:rsidR="00000000" w:rsidDel="00000000" w:rsidP="00000000" w:rsidRDefault="00000000" w:rsidRPr="00000000" w14:paraId="00000007">
      <w:pPr>
        <w:spacing w:after="0" w:lineRule="auto"/>
        <w:rPr>
          <w:rFonts w:ascii="Cambria" w:cs="Cambria" w:eastAsia="Cambria" w:hAnsi="Cambria"/>
          <w:b w:val="1"/>
          <w:i w:val="1"/>
        </w:rPr>
      </w:pPr>
      <w:r w:rsidDel="00000000" w:rsidR="00000000" w:rsidRPr="00000000">
        <w:rPr>
          <w:rtl w:val="0"/>
        </w:rPr>
      </w:r>
    </w:p>
    <w:p w:rsidR="00000000" w:rsidDel="00000000" w:rsidP="00000000" w:rsidRDefault="00000000" w:rsidRPr="00000000" w14:paraId="00000008">
      <w:pPr>
        <w:spacing w:after="0" w:lineRule="auto"/>
        <w:rPr>
          <w:rFonts w:ascii="Cambria" w:cs="Cambria" w:eastAsia="Cambria" w:hAnsi="Cambria"/>
          <w:b w:val="1"/>
          <w:i w:val="1"/>
        </w:rPr>
      </w:pPr>
      <w:r w:rsidDel="00000000" w:rsidR="00000000" w:rsidRPr="00000000">
        <w:rPr>
          <w:rFonts w:ascii="Cambria" w:cs="Cambria" w:eastAsia="Cambria" w:hAnsi="Cambria"/>
          <w:b w:val="1"/>
          <w:i w:val="1"/>
          <w:rtl w:val="0"/>
        </w:rPr>
        <w:t xml:space="preserve">Benchmark and Benchmark Clarification Correlations </w:t>
      </w:r>
    </w:p>
    <w:p w:rsidR="00000000" w:rsidDel="00000000" w:rsidP="00000000" w:rsidRDefault="00000000" w:rsidRPr="00000000" w14:paraId="00000009">
      <w:pPr>
        <w:spacing w:after="0" w:lineRule="auto"/>
        <w:rPr>
          <w:rFonts w:ascii="Cambria" w:cs="Cambria" w:eastAsia="Cambria" w:hAnsi="Cambria"/>
          <w:b w:val="1"/>
        </w:rPr>
      </w:pPr>
      <w:bookmarkStart w:colFirst="0" w:colLast="0" w:name="_heading=h.30j0zll" w:id="1"/>
      <w:bookmarkEnd w:id="1"/>
      <w:r w:rsidDel="00000000" w:rsidR="00000000" w:rsidRPr="00000000">
        <w:rPr>
          <w:rFonts w:ascii="Cambria" w:cs="Cambria" w:eastAsia="Cambria" w:hAnsi="Cambria"/>
          <w:b w:val="1"/>
          <w:rtl w:val="0"/>
        </w:rPr>
        <w:t xml:space="preserve">SS.912.CG.3.11: Evaluate how landmark Supreme Court decisions affect law, liberty, and the interpretation of the U.S. Constitution.</w:t>
      </w:r>
    </w:p>
    <w:p w:rsidR="00000000" w:rsidDel="00000000" w:rsidP="00000000" w:rsidRDefault="00000000" w:rsidRPr="00000000" w14:paraId="0000000A">
      <w:pPr>
        <w:spacing w:after="0" w:lineRule="auto"/>
        <w:rPr>
          <w:rFonts w:ascii="Cambria" w:cs="Cambria" w:eastAsia="Cambria" w:hAnsi="Cambria"/>
        </w:rPr>
      </w:pPr>
      <w:r w:rsidDel="00000000" w:rsidR="00000000" w:rsidRPr="00000000">
        <w:rPr>
          <w:rFonts w:ascii="Cambria" w:cs="Cambria" w:eastAsia="Cambria" w:hAnsi="Cambria"/>
          <w:rtl w:val="0"/>
        </w:rPr>
        <w:t xml:space="preserve">*Students will recognize landmark Supreme Court cases (e.g. Marbury Madison; McCulloch v. Marland; Dred Scott v. Sandford; Plessy v. Ferguson; Brown v. Board of Education; Gideon v. Wainwright; Miranda v. Arizona; Korematsu v. United States; Mapp v. Ohio; In re Gault; United States v. Nixon; Regents of the University of California v. Bakke; Hazelwood v. Kuhlmeier; District of Columbia v. Heller).</w:t>
      </w:r>
    </w:p>
    <w:p w:rsidR="00000000" w:rsidDel="00000000" w:rsidP="00000000" w:rsidRDefault="00000000" w:rsidRPr="00000000" w14:paraId="0000000B">
      <w:pPr>
        <w:spacing w:after="0" w:lineRule="auto"/>
        <w:rPr>
          <w:rFonts w:ascii="Cambria" w:cs="Cambria" w:eastAsia="Cambria" w:hAnsi="Cambria"/>
        </w:rPr>
      </w:pPr>
      <w:r w:rsidDel="00000000" w:rsidR="00000000" w:rsidRPr="00000000">
        <w:rPr>
          <w:rFonts w:ascii="Cambria" w:cs="Cambria" w:eastAsia="Cambria" w:hAnsi="Cambria"/>
          <w:rtl w:val="0"/>
        </w:rPr>
        <w:t xml:space="preserve">*Students will explain the foundational constitutional issues underlying landmark Supreme Court decisions related to the Bill of Rights and other amendments.</w:t>
      </w:r>
    </w:p>
    <w:p w:rsidR="00000000" w:rsidDel="00000000" w:rsidP="00000000" w:rsidRDefault="00000000" w:rsidRPr="00000000" w14:paraId="0000000C">
      <w:pPr>
        <w:spacing w:after="0" w:lineRule="auto"/>
        <w:rPr>
          <w:rFonts w:ascii="Cambria" w:cs="Cambria" w:eastAsia="Cambria" w:hAnsi="Cambria"/>
        </w:rPr>
      </w:pPr>
      <w:r w:rsidDel="00000000" w:rsidR="00000000" w:rsidRPr="00000000">
        <w:rPr>
          <w:rFonts w:ascii="Cambria" w:cs="Cambria" w:eastAsia="Cambria" w:hAnsi="Cambria"/>
          <w:rtl w:val="0"/>
        </w:rPr>
        <w:t xml:space="preserve">*Students will explain the outcomes of landmark Supreme Court cases related to the Bill of Rights and other amendments.</w:t>
      </w:r>
    </w:p>
    <w:p w:rsidR="00000000" w:rsidDel="00000000" w:rsidP="00000000" w:rsidRDefault="00000000" w:rsidRPr="00000000" w14:paraId="0000000D">
      <w:pPr>
        <w:spacing w:after="0" w:lineRule="auto"/>
        <w:rPr>
          <w:rFonts w:ascii="Cambria" w:cs="Cambria" w:eastAsia="Cambria" w:hAnsi="Cambria"/>
          <w:i w:val="1"/>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u w:val="none"/>
          <w:shd w:fill="auto" w:val="clear"/>
          <w:vertAlign w:val="baseline"/>
        </w:rPr>
      </w:pPr>
      <w:r w:rsidDel="00000000" w:rsidR="00000000" w:rsidRPr="00000000">
        <w:rPr>
          <w:rFonts w:ascii="Cambria" w:cs="Cambria" w:eastAsia="Cambria" w:hAnsi="Cambria"/>
          <w:b w:val="1"/>
          <w:i w:val="1"/>
          <w:smallCaps w:val="0"/>
          <w:strike w:val="0"/>
          <w:color w:val="000000"/>
          <w:u w:val="none"/>
          <w:shd w:fill="auto" w:val="clear"/>
          <w:vertAlign w:val="baseline"/>
          <w:rtl w:val="0"/>
        </w:rPr>
        <w:t xml:space="preserve">Activity Documents, Materials, and Handouts</w:t>
      </w:r>
    </w:p>
    <w:p w:rsidR="00000000" w:rsidDel="00000000" w:rsidP="00000000" w:rsidRDefault="00000000" w:rsidRPr="00000000" w14:paraId="0000000F">
      <w:pPr>
        <w:spacing w:after="0" w:lineRule="auto"/>
        <w:rPr>
          <w:rFonts w:ascii="Cambria" w:cs="Cambria" w:eastAsia="Cambria" w:hAnsi="Cambria"/>
        </w:rPr>
      </w:pPr>
      <w:r w:rsidDel="00000000" w:rsidR="00000000" w:rsidRPr="00000000">
        <w:rPr>
          <w:rFonts w:ascii="Cambria" w:cs="Cambria" w:eastAsia="Cambria" w:hAnsi="Cambria"/>
          <w:rtl w:val="0"/>
        </w:rPr>
        <w:t xml:space="preserve">Graphic Organizer/T-Chart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1">
      <w:pPr>
        <w:spacing w:after="0" w:lineRule="auto"/>
        <w:rPr>
          <w:rFonts w:ascii="Cambria" w:cs="Cambria" w:eastAsia="Cambria" w:hAnsi="Cambria"/>
          <w:b w:val="1"/>
          <w:i w:val="1"/>
        </w:rPr>
      </w:pPr>
      <w:r w:rsidDel="00000000" w:rsidR="00000000" w:rsidRPr="00000000">
        <w:rPr>
          <w:rFonts w:ascii="Cambria" w:cs="Cambria" w:eastAsia="Cambria" w:hAnsi="Cambria"/>
          <w:b w:val="1"/>
          <w:i w:val="1"/>
          <w:rtl w:val="0"/>
        </w:rPr>
        <w:t xml:space="preserve">Activity Vocabulary </w:t>
      </w:r>
    </w:p>
    <w:tbl>
      <w:tblPr>
        <w:tblStyle w:val="Table1"/>
        <w:tblW w:w="1081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18"/>
        <w:tblGridChange w:id="0">
          <w:tblGrid>
            <w:gridCol w:w="10818"/>
          </w:tblGrid>
        </w:tblGridChange>
      </w:tblGrid>
      <w:tr>
        <w:trPr>
          <w:cantSplit w:val="0"/>
          <w:trHeight w:val="503" w:hRule="atLeast"/>
          <w:tblHeader w:val="0"/>
        </w:trPr>
        <w:tc>
          <w:tcPr/>
          <w:p w:rsidR="00000000" w:rsidDel="00000000" w:rsidP="00000000" w:rsidRDefault="00000000" w:rsidRPr="00000000" w14:paraId="00000012">
            <w:pPr>
              <w:rPr>
                <w:rFonts w:ascii="Cambria" w:cs="Cambria" w:eastAsia="Cambria" w:hAnsi="Cambria"/>
              </w:rPr>
            </w:pPr>
            <w:r w:rsidDel="00000000" w:rsidR="00000000" w:rsidRPr="00000000">
              <w:rPr>
                <w:rFonts w:ascii="Cambria" w:cs="Cambria" w:eastAsia="Cambria" w:hAnsi="Cambria"/>
                <w:rtl w:val="0"/>
              </w:rPr>
              <w:t xml:space="preserve">amendments </w:t>
            </w:r>
          </w:p>
          <w:p w:rsidR="00000000" w:rsidDel="00000000" w:rsidP="00000000" w:rsidRDefault="00000000" w:rsidRPr="00000000" w14:paraId="00000013">
            <w:pPr>
              <w:rPr>
                <w:rFonts w:ascii="Cambria" w:cs="Cambria" w:eastAsia="Cambria" w:hAnsi="Cambria"/>
              </w:rPr>
            </w:pPr>
            <w:r w:rsidDel="00000000" w:rsidR="00000000" w:rsidRPr="00000000">
              <w:rPr>
                <w:rFonts w:ascii="Cambria" w:cs="Cambria" w:eastAsia="Cambria" w:hAnsi="Cambria"/>
                <w:rtl w:val="0"/>
              </w:rPr>
              <w:t xml:space="preserve">appellate courts</w:t>
            </w:r>
          </w:p>
          <w:p w:rsidR="00000000" w:rsidDel="00000000" w:rsidP="00000000" w:rsidRDefault="00000000" w:rsidRPr="00000000" w14:paraId="00000014">
            <w:pPr>
              <w:rPr>
                <w:rFonts w:ascii="Cambria" w:cs="Cambria" w:eastAsia="Cambria" w:hAnsi="Cambria"/>
              </w:rPr>
            </w:pPr>
            <w:r w:rsidDel="00000000" w:rsidR="00000000" w:rsidRPr="00000000">
              <w:rPr>
                <w:rFonts w:ascii="Cambria" w:cs="Cambria" w:eastAsia="Cambria" w:hAnsi="Cambria"/>
                <w:rtl w:val="0"/>
              </w:rPr>
              <w:t xml:space="preserve">Bill of Rights</w:t>
            </w:r>
          </w:p>
          <w:p w:rsidR="00000000" w:rsidDel="00000000" w:rsidP="00000000" w:rsidRDefault="00000000" w:rsidRPr="00000000" w14:paraId="00000015">
            <w:pPr>
              <w:rPr>
                <w:rFonts w:ascii="Cambria" w:cs="Cambria" w:eastAsia="Cambria" w:hAnsi="Cambria"/>
              </w:rPr>
            </w:pPr>
            <w:r w:rsidDel="00000000" w:rsidR="00000000" w:rsidRPr="00000000">
              <w:rPr>
                <w:rFonts w:ascii="Cambria" w:cs="Cambria" w:eastAsia="Cambria" w:hAnsi="Cambria"/>
                <w:rtl w:val="0"/>
              </w:rPr>
              <w:t xml:space="preserve">civil courts</w:t>
            </w:r>
          </w:p>
          <w:p w:rsidR="00000000" w:rsidDel="00000000" w:rsidP="00000000" w:rsidRDefault="00000000" w:rsidRPr="00000000" w14:paraId="00000016">
            <w:pPr>
              <w:rPr>
                <w:rFonts w:ascii="Cambria" w:cs="Cambria" w:eastAsia="Cambria" w:hAnsi="Cambria"/>
              </w:rPr>
            </w:pPr>
            <w:r w:rsidDel="00000000" w:rsidR="00000000" w:rsidRPr="00000000">
              <w:rPr>
                <w:rFonts w:ascii="Cambria" w:cs="Cambria" w:eastAsia="Cambria" w:hAnsi="Cambria"/>
                <w:rtl w:val="0"/>
              </w:rPr>
              <w:t xml:space="preserve">criminal courts</w:t>
            </w:r>
          </w:p>
          <w:p w:rsidR="00000000" w:rsidDel="00000000" w:rsidP="00000000" w:rsidRDefault="00000000" w:rsidRPr="00000000" w14:paraId="00000017">
            <w:pPr>
              <w:rPr>
                <w:rFonts w:ascii="Cambria" w:cs="Cambria" w:eastAsia="Cambria" w:hAnsi="Cambria"/>
              </w:rPr>
            </w:pPr>
            <w:r w:rsidDel="00000000" w:rsidR="00000000" w:rsidRPr="00000000">
              <w:rPr>
                <w:rFonts w:ascii="Cambria" w:cs="Cambria" w:eastAsia="Cambria" w:hAnsi="Cambria"/>
                <w:rtl w:val="0"/>
              </w:rPr>
              <w:t xml:space="preserve">federal district courts </w:t>
            </w:r>
          </w:p>
          <w:p w:rsidR="00000000" w:rsidDel="00000000" w:rsidP="00000000" w:rsidRDefault="00000000" w:rsidRPr="00000000" w14:paraId="00000018">
            <w:pPr>
              <w:rPr>
                <w:rFonts w:ascii="Cambria" w:cs="Cambria" w:eastAsia="Cambria" w:hAnsi="Cambria"/>
              </w:rPr>
            </w:pPr>
            <w:r w:rsidDel="00000000" w:rsidR="00000000" w:rsidRPr="00000000">
              <w:rPr>
                <w:rFonts w:ascii="Cambria" w:cs="Cambria" w:eastAsia="Cambria" w:hAnsi="Cambria"/>
                <w:rtl w:val="0"/>
              </w:rPr>
              <w:t xml:space="preserve">landmark case</w:t>
            </w:r>
          </w:p>
          <w:p w:rsidR="00000000" w:rsidDel="00000000" w:rsidP="00000000" w:rsidRDefault="00000000" w:rsidRPr="00000000" w14:paraId="00000019">
            <w:pPr>
              <w:rPr>
                <w:rFonts w:ascii="Cambria" w:cs="Cambria" w:eastAsia="Cambria" w:hAnsi="Cambria"/>
              </w:rPr>
            </w:pPr>
            <w:r w:rsidDel="00000000" w:rsidR="00000000" w:rsidRPr="00000000">
              <w:rPr>
                <w:rFonts w:ascii="Cambria" w:cs="Cambria" w:eastAsia="Cambria" w:hAnsi="Cambria"/>
                <w:rtl w:val="0"/>
              </w:rPr>
              <w:t xml:space="preserve">precedent,</w:t>
            </w:r>
          </w:p>
          <w:p w:rsidR="00000000" w:rsidDel="00000000" w:rsidP="00000000" w:rsidRDefault="00000000" w:rsidRPr="00000000" w14:paraId="0000001A">
            <w:pPr>
              <w:rPr>
                <w:rFonts w:ascii="Cambria" w:cs="Cambria" w:eastAsia="Cambria" w:hAnsi="Cambria"/>
              </w:rPr>
            </w:pPr>
            <w:r w:rsidDel="00000000" w:rsidR="00000000" w:rsidRPr="00000000">
              <w:rPr>
                <w:rFonts w:ascii="Cambria" w:cs="Cambria" w:eastAsia="Cambria" w:hAnsi="Cambria"/>
                <w:rtl w:val="0"/>
              </w:rPr>
              <w:t xml:space="preserve">reserved powers</w:t>
            </w:r>
          </w:p>
          <w:p w:rsidR="00000000" w:rsidDel="00000000" w:rsidP="00000000" w:rsidRDefault="00000000" w:rsidRPr="00000000" w14:paraId="0000001B">
            <w:pPr>
              <w:rPr>
                <w:rFonts w:ascii="Cambria" w:cs="Cambria" w:eastAsia="Cambria" w:hAnsi="Cambria"/>
              </w:rPr>
            </w:pPr>
            <w:r w:rsidDel="00000000" w:rsidR="00000000" w:rsidRPr="00000000">
              <w:rPr>
                <w:rFonts w:ascii="Cambria" w:cs="Cambria" w:eastAsia="Cambria" w:hAnsi="Cambria"/>
                <w:rtl w:val="0"/>
              </w:rPr>
              <w:t xml:space="preserve">state courts</w:t>
            </w:r>
          </w:p>
        </w:tc>
      </w:tr>
    </w:tbl>
    <w:p w:rsidR="00000000" w:rsidDel="00000000" w:rsidP="00000000" w:rsidRDefault="00000000" w:rsidRPr="00000000" w14:paraId="0000001C">
      <w:pPr>
        <w:spacing w:after="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u w:val="none"/>
          <w:shd w:fill="auto" w:val="clear"/>
          <w:vertAlign w:val="baseline"/>
        </w:rPr>
      </w:pPr>
      <w:r w:rsidDel="00000000" w:rsidR="00000000" w:rsidRPr="00000000">
        <w:rPr>
          <w:rFonts w:ascii="Cambria" w:cs="Cambria" w:eastAsia="Cambria" w:hAnsi="Cambria"/>
          <w:b w:val="1"/>
          <w:i w:val="1"/>
          <w:smallCaps w:val="0"/>
          <w:strike w:val="0"/>
          <w:color w:val="000000"/>
          <w:u w:val="none"/>
          <w:shd w:fill="auto" w:val="clear"/>
          <w:vertAlign w:val="baseline"/>
          <w:rtl w:val="0"/>
        </w:rPr>
        <w:t xml:space="preserve">Teacher Notes/Lesson Steps</w:t>
      </w:r>
    </w:p>
    <w:p w:rsidR="00000000" w:rsidDel="00000000" w:rsidP="00000000" w:rsidRDefault="00000000" w:rsidRPr="00000000" w14:paraId="0000001E">
      <w:pPr>
        <w:spacing w:after="0" w:lineRule="auto"/>
        <w:rPr>
          <w:rFonts w:ascii="Cambria" w:cs="Cambria" w:eastAsia="Cambria" w:hAnsi="Cambria"/>
        </w:rPr>
      </w:pPr>
      <w:r w:rsidDel="00000000" w:rsidR="00000000" w:rsidRPr="00000000">
        <w:rPr>
          <w:rFonts w:ascii="Cambria" w:cs="Cambria" w:eastAsia="Cambria" w:hAnsi="Cambria"/>
          <w:b w:val="1"/>
          <w:rtl w:val="0"/>
        </w:rPr>
        <w:t xml:space="preserve">*</w:t>
      </w:r>
      <w:r w:rsidDel="00000000" w:rsidR="00000000" w:rsidRPr="00000000">
        <w:rPr>
          <w:rFonts w:ascii="Cambria" w:cs="Cambria" w:eastAsia="Cambria" w:hAnsi="Cambria"/>
          <w:rtl w:val="0"/>
        </w:rPr>
        <w:t xml:space="preserve">Provide background information regarding each case, prior to viewing each video</w:t>
      </w:r>
    </w:p>
    <w:p w:rsidR="00000000" w:rsidDel="00000000" w:rsidP="00000000" w:rsidRDefault="00000000" w:rsidRPr="00000000" w14:paraId="0000001F">
      <w:pPr>
        <w:spacing w:after="0" w:lineRule="auto"/>
        <w:rPr>
          <w:rFonts w:ascii="Cambria" w:cs="Cambria" w:eastAsia="Cambria" w:hAnsi="Cambria"/>
        </w:rPr>
      </w:pPr>
      <w:r w:rsidDel="00000000" w:rsidR="00000000" w:rsidRPr="00000000">
        <w:rPr>
          <w:rFonts w:ascii="Cambria" w:cs="Cambria" w:eastAsia="Cambria" w:hAnsi="Cambria"/>
          <w:rtl w:val="0"/>
        </w:rPr>
        <w:t xml:space="preserve">*Explain how to complete the graphic organizer/T-chart prior to viewing each video</w:t>
      </w:r>
    </w:p>
    <w:p w:rsidR="00000000" w:rsidDel="00000000" w:rsidP="00000000" w:rsidRDefault="00000000" w:rsidRPr="00000000" w14:paraId="00000020">
      <w:pPr>
        <w:spacing w:after="0" w:lineRule="auto"/>
        <w:rPr>
          <w:rFonts w:ascii="Cambria" w:cs="Cambria" w:eastAsia="Cambria" w:hAnsi="Cambria"/>
        </w:rPr>
      </w:pPr>
      <w:r w:rsidDel="00000000" w:rsidR="00000000" w:rsidRPr="00000000">
        <w:rPr>
          <w:rFonts w:ascii="Cambria" w:cs="Cambria" w:eastAsia="Cambria" w:hAnsi="Cambria"/>
          <w:rtl w:val="0"/>
        </w:rPr>
        <w:t xml:space="preserve">*Provide an explanation of the outcome of each case</w:t>
      </w:r>
    </w:p>
    <w:p w:rsidR="00000000" w:rsidDel="00000000" w:rsidP="00000000" w:rsidRDefault="00000000" w:rsidRPr="00000000" w14:paraId="00000021">
      <w:pPr>
        <w:spacing w:after="0" w:lineRule="auto"/>
        <w:rPr>
          <w:rFonts w:ascii="Cambria" w:cs="Cambria" w:eastAsia="Cambria" w:hAnsi="Cambria"/>
        </w:rPr>
      </w:pPr>
      <w:r w:rsidDel="00000000" w:rsidR="00000000" w:rsidRPr="00000000">
        <w:rPr>
          <w:rFonts w:ascii="Cambria" w:cs="Cambria" w:eastAsia="Cambria" w:hAnsi="Cambria"/>
          <w:rtl w:val="0"/>
        </w:rPr>
        <w:t xml:space="preserve">*Explain how the outcome of the case affects our laws, liberties and/or the interpretation of constitutional rights.</w:t>
      </w:r>
    </w:p>
    <w:p w:rsidR="00000000" w:rsidDel="00000000" w:rsidP="00000000" w:rsidRDefault="00000000" w:rsidRPr="00000000" w14:paraId="00000022">
      <w:pPr>
        <w:spacing w:after="0" w:lineRule="auto"/>
        <w:rPr>
          <w:rFonts w:ascii="Cambria" w:cs="Cambria" w:eastAsia="Cambria" w:hAnsi="Cambria"/>
          <w:sz w:val="18"/>
          <w:szCs w:val="18"/>
        </w:rPr>
      </w:pPr>
      <w:r w:rsidDel="00000000" w:rsidR="00000000" w:rsidRPr="00000000">
        <w:rPr>
          <w:rtl w:val="0"/>
        </w:rPr>
      </w:r>
    </w:p>
    <w:p w:rsidR="00000000" w:rsidDel="00000000" w:rsidP="00000000" w:rsidRDefault="00000000" w:rsidRPr="00000000" w14:paraId="00000023">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0" w:line="240" w:lineRule="auto"/>
        <w:jc w:val="left"/>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5">
      <w:pPr>
        <w:spacing w:after="0" w:line="240" w:lineRule="auto"/>
        <w:jc w:val="center"/>
        <w:rPr>
          <w:rFonts w:ascii="Cambria" w:cs="Cambria" w:eastAsia="Cambria" w:hAnsi="Cambria"/>
          <w:sz w:val="28"/>
          <w:szCs w:val="28"/>
        </w:rPr>
      </w:pPr>
      <w:bookmarkStart w:colFirst="0" w:colLast="0" w:name="_heading=h.1fob9te" w:id="2"/>
      <w:bookmarkEnd w:id="2"/>
      <w:r w:rsidDel="00000000" w:rsidR="00000000" w:rsidRPr="00000000">
        <w:rPr>
          <w:rFonts w:ascii="Cambria" w:cs="Cambria" w:eastAsia="Cambria" w:hAnsi="Cambria"/>
          <w:b w:val="1"/>
          <w:sz w:val="28"/>
          <w:szCs w:val="28"/>
          <w:rtl w:val="0"/>
        </w:rPr>
        <w:t xml:space="preserve">Teacher Background Information</w:t>
      </w:r>
      <w:r w:rsidDel="00000000" w:rsidR="00000000" w:rsidRPr="00000000">
        <w:rPr>
          <w:rtl w:val="0"/>
        </w:rPr>
      </w:r>
    </w:p>
    <w:p w:rsidR="00000000" w:rsidDel="00000000" w:rsidP="00000000" w:rsidRDefault="00000000" w:rsidRPr="00000000" w14:paraId="00000026">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What content does the teacher need to know to teach this lesson effectively?</w:t>
      </w:r>
    </w:p>
    <w:p w:rsidR="00000000" w:rsidDel="00000000" w:rsidP="00000000" w:rsidRDefault="00000000" w:rsidRPr="00000000" w14:paraId="00000028">
      <w:pPr>
        <w:spacing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teacher should have an in-depth understanding of landmark Supreme Court cases.  The teacher should also understand how one Supreme Court decision can set a precedent or have a direct impact on other Supreme Court decisions.  For example, Dred Scott v. Sandford, Plessy v. Ferguson and Brown v. Board of Education are all related court cases because of their focus on civil rights and race discrimination.  The teacher will help the students connect cases where one case sets a precedent for one or more other cases.</w:t>
      </w:r>
    </w:p>
    <w:p w:rsidR="00000000" w:rsidDel="00000000" w:rsidP="00000000" w:rsidRDefault="00000000" w:rsidRPr="00000000" w14:paraId="00000029">
      <w:pPr>
        <w:spacing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teacher can assign students a short research/bell ringer activity to research and define the vocabulary terms.  </w:t>
      </w:r>
    </w:p>
    <w:p w:rsidR="00000000" w:rsidDel="00000000" w:rsidP="00000000" w:rsidRDefault="00000000" w:rsidRPr="00000000" w14:paraId="0000002A">
      <w:pPr>
        <w:spacing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teacher may choose to create a graphic organizer or a T-chart for students to complete.  </w:t>
      </w:r>
    </w:p>
    <w:p w:rsidR="00000000" w:rsidDel="00000000" w:rsidP="00000000" w:rsidRDefault="00000000" w:rsidRPr="00000000" w14:paraId="0000002B">
      <w:pPr>
        <w:spacing w:after="0" w:lineRule="auto"/>
        <w:rPr>
          <w:rFonts w:ascii="Cambria" w:cs="Cambria" w:eastAsia="Cambria" w:hAnsi="Cambria"/>
          <w:sz w:val="18"/>
          <w:szCs w:val="18"/>
        </w:rPr>
      </w:pPr>
      <w:r w:rsidDel="00000000" w:rsidR="00000000" w:rsidRPr="00000000">
        <w:rPr>
          <w:rtl w:val="0"/>
        </w:rPr>
      </w:r>
    </w:p>
    <w:p w:rsidR="00000000" w:rsidDel="00000000" w:rsidP="00000000" w:rsidRDefault="00000000" w:rsidRPr="00000000" w14:paraId="0000002C">
      <w:pPr>
        <w:rPr>
          <w:rFonts w:ascii="Cambria" w:cs="Cambria" w:eastAsia="Cambria" w:hAnsi="Cambria"/>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864" w:top="864" w:left="864" w:right="864" w:header="720" w:footer="43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jc w:val="center"/>
      <w:rPr/>
    </w:pPr>
    <w:r w:rsidDel="00000000" w:rsidR="00000000" w:rsidRPr="00000000">
      <w:rPr/>
      <w:drawing>
        <wp:inline distB="0" distT="0" distL="0" distR="0">
          <wp:extent cx="913383" cy="929655"/>
          <wp:effectExtent b="0" l="0" r="0" t="0"/>
          <wp:docPr descr="Macintosh HD:Users:vmcvey:Desktop:FJCC LFI:Logos:FJCC Logos:Circle_FJCC_Logo.png" id="18" name="image2.png"/>
          <a:graphic>
            <a:graphicData uri="http://schemas.openxmlformats.org/drawingml/2006/picture">
              <pic:pic>
                <pic:nvPicPr>
                  <pic:cNvPr descr="Macintosh HD:Users:vmcvey:Desktop:FJCC LFI:Logos:FJCC Logos:Circle_FJCC_Logo.png" id="0" name="image2.png"/>
                  <pic:cNvPicPr preferRelativeResize="0"/>
                </pic:nvPicPr>
                <pic:blipFill>
                  <a:blip r:embed="rId1"/>
                  <a:srcRect b="0" l="0" r="0" t="0"/>
                  <a:stretch>
                    <a:fillRect/>
                  </a:stretch>
                </pic:blipFill>
                <pic:spPr>
                  <a:xfrm>
                    <a:off x="0" y="0"/>
                    <a:ext cx="913383" cy="929655"/>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989910" cy="920125"/>
          <wp:effectExtent b="0" l="0" r="0" t="0"/>
          <wp:docPr descr="Macintosh HD:Users:vmcvey:Desktop:NARA:NARA 2015-2016:SIPS logos:NARA logo.tif" id="19" name="image1.png"/>
          <a:graphic>
            <a:graphicData uri="http://schemas.openxmlformats.org/drawingml/2006/picture">
              <pic:pic>
                <pic:nvPicPr>
                  <pic:cNvPr descr="Macintosh HD:Users:vmcvey:Desktop:NARA:NARA 2015-2016:SIPS logos:NARA logo.tif" id="0" name="image1.png"/>
                  <pic:cNvPicPr preferRelativeResize="0"/>
                </pic:nvPicPr>
                <pic:blipFill>
                  <a:blip r:embed="rId2"/>
                  <a:srcRect b="0" l="0" r="0" t="0"/>
                  <a:stretch>
                    <a:fillRect/>
                  </a:stretch>
                </pic:blipFill>
                <pic:spPr>
                  <a:xfrm>
                    <a:off x="0" y="0"/>
                    <a:ext cx="989910" cy="920125"/>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547E8"/>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eastAsia="Calibri"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6eslSYt8NCy+XLLTHRfcuAJJZg==">CgMxLjAyCGguZ2pkZ3hzMgloLjMwajB6bGwyCWguMWZvYjl0ZTgAaiIKFHN1Z2dlc3QuNTk3aHNpYzNmOTVyEgpUZXJyaSBGaW5laiIKFHN1Z2dlc3QuN2J4ZWI5ZTgyNWVrEgpUZXJyaSBGaW5laiIKFHN1Z2dlc3QuZ2h1b2ZxNmt4c2RuEgpUZXJyaSBGaW5lciExV2Z3WEQ3dDgzSllob1hOOVByUS0tTnhOajZhcEItZmM=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2023-09-20T17:20:00Z</dcterms:created>
  <dc:creator>Stephen Masyada</dc:creator>
</cp:coreProperties>
</file>