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jc w:val="center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Florida Civic Literacy Support Lesson</w:t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ambria" w:cs="Cambria" w:eastAsia="Cambria" w:hAnsi="Cambria"/>
          <w:b w:val="1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sz w:val="28"/>
          <w:szCs w:val="28"/>
          <w:rtl w:val="0"/>
        </w:rPr>
        <w:t xml:space="preserve">Constitutional Clauses</w:t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Cambria" w:cs="Cambria" w:eastAsia="Cambria" w:hAnsi="Cambria"/>
          <w:i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 Activity for High School Civic Literacy Competency #2 </w:t>
      </w:r>
      <w:r w:rsidDel="00000000" w:rsidR="00000000" w:rsidRPr="00000000">
        <w:rPr>
          <w:rFonts w:ascii="Cambria" w:cs="Cambria" w:eastAsia="Cambria" w:hAnsi="Cambria"/>
          <w:i w:val="1"/>
          <w:sz w:val="26"/>
          <w:szCs w:val="26"/>
          <w:rtl w:val="0"/>
        </w:rPr>
        <w:tab/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sz w:val="26"/>
          <w:szCs w:val="26"/>
          <w:rtl w:val="0"/>
        </w:rPr>
        <w:t xml:space="preserve">What are different powers in the Constitution?  How have these powers been interpreted?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An Activity for High School Civic Literacy </w:t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Cambria" w:cs="Cambria" w:eastAsia="Cambria" w:hAnsi="Cambria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i w:val="1"/>
          <w:sz w:val="24"/>
          <w:szCs w:val="24"/>
          <w:rtl w:val="0"/>
        </w:rPr>
        <w:t xml:space="preserve">Competency #2: An understanding of the United States Constitution and its application.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Cambria" w:cs="Cambria" w:eastAsia="Cambria" w:hAnsi="Cambria"/>
          <w:b w:val="1"/>
          <w:i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sz w:val="24"/>
          <w:szCs w:val="24"/>
          <w:rtl w:val="0"/>
        </w:rPr>
        <w:t xml:space="preserve">Benchmark and Benchmark Clarification Correlations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imes New Roman" w:cs="Times New Roman" w:eastAsia="Times New Roman" w:hAnsi="Times New Roman"/>
          <w:b w:val="1"/>
          <w:sz w:val="18"/>
          <w:szCs w:val="18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SS.912.CG.3.6: </w:t>
      </w:r>
      <w:r w:rsidDel="00000000" w:rsidR="00000000" w:rsidRPr="00000000">
        <w:rPr>
          <w:rFonts w:ascii="Cambria" w:cs="Cambria" w:eastAsia="Cambria" w:hAnsi="Cambria"/>
          <w:color w:val="2d2d2d"/>
          <w:sz w:val="24"/>
          <w:szCs w:val="24"/>
          <w:highlight w:val="white"/>
          <w:rtl w:val="0"/>
        </w:rPr>
        <w:t xml:space="preserve">Explain expressed, implied, concurrent and reserved powers in the U.S. Constitution.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Cambria" w:cs="Cambria" w:eastAsia="Cambria" w:hAnsi="Cambria"/>
          <w:color w:val="2d2d2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2d2d2d"/>
          <w:sz w:val="24"/>
          <w:szCs w:val="24"/>
          <w:rtl w:val="0"/>
        </w:rPr>
        <w:t xml:space="preserve">*Students will identify powers that are expressed in the U.S. Constitution to Congress (e.g., coin money, declare war, assess taxes, citizenship). *Students will identify that expressed powers are also known as enumerated powers found in Article I of the U.S. Constitution. *Students will analyze the role of the “general welfare clause” and “necessary and proper clause” in granting Congress implied powers.* Students will describe examples of concurrent powers as those powers shared by both state and national governments (e.g., build roads, tax citizens, make laws). *Students will explain how reserved powers define issues as matters for the people or the state governments. *Students will compare the roles of expressed, implied, concurrent and reserved powers in United States’ federalism. </w:t>
      </w:r>
    </w:p>
    <w:p w:rsidR="00000000" w:rsidDel="00000000" w:rsidP="00000000" w:rsidRDefault="00000000" w:rsidRPr="00000000" w14:paraId="0000000C">
      <w:pPr>
        <w:spacing w:after="0" w:lineRule="auto"/>
        <w:rPr>
          <w:rFonts w:ascii="Cambria" w:cs="Cambria" w:eastAsia="Cambria" w:hAnsi="Cambria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rFonts w:ascii="Cambria" w:cs="Cambria" w:eastAsia="Cambria" w:hAnsi="Cambria"/>
          <w:color w:val="2d2d2d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SS.912.CG.3.8: </w:t>
      </w:r>
      <w:r w:rsidDel="00000000" w:rsidR="00000000" w:rsidRPr="00000000">
        <w:rPr>
          <w:rFonts w:ascii="Cambria" w:cs="Cambria" w:eastAsia="Cambria" w:hAnsi="Cambria"/>
          <w:color w:val="2d2d2d"/>
          <w:sz w:val="24"/>
          <w:szCs w:val="24"/>
          <w:highlight w:val="white"/>
          <w:rtl w:val="0"/>
        </w:rPr>
        <w:t xml:space="preserve">Describe the purpose and function of judicial review in the American constitutional government.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*</w:t>
      </w:r>
      <w:r w:rsidDel="00000000" w:rsidR="00000000" w:rsidRPr="00000000">
        <w:rPr>
          <w:rFonts w:ascii="Cambria" w:cs="Cambria" w:eastAsia="Cambria" w:hAnsi="Cambria"/>
          <w:color w:val="2d2d2d"/>
          <w:sz w:val="24"/>
          <w:szCs w:val="24"/>
          <w:rtl w:val="0"/>
        </w:rPr>
        <w:t xml:space="preserve">Students will examine the role of district courts, the courts of appeals and the Supreme Court in the judicial review process. *Students will explain the relationship between the concept of judicial review and the language of the Supremacy Clause in Article VI of the U.S. Constitution. </w:t>
      </w:r>
    </w:p>
    <w:p w:rsidR="00000000" w:rsidDel="00000000" w:rsidP="00000000" w:rsidRDefault="00000000" w:rsidRPr="00000000" w14:paraId="0000000E">
      <w:pPr>
        <w:spacing w:after="0" w:line="240" w:lineRule="auto"/>
        <w:rPr>
          <w:rFonts w:ascii="Cambria" w:cs="Cambria" w:eastAsia="Cambria" w:hAnsi="Cambria"/>
          <w:color w:val="2d2d2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4"/>
          <w:szCs w:val="24"/>
          <w:rtl w:val="0"/>
        </w:rPr>
        <w:t xml:space="preserve">Activity Materials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YouTube videos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Full Faith and Credit Clause: </w:t>
      </w:r>
      <w:r w:rsidDel="00000000" w:rsidR="00000000" w:rsidRPr="00000000">
        <w:rPr>
          <w:rFonts w:ascii="Cambria" w:cs="Cambria" w:eastAsia="Cambria" w:hAnsi="Cambria"/>
          <w:color w:val="1155cc"/>
          <w:u w:val="single"/>
          <w:rtl w:val="0"/>
        </w:rPr>
        <w:t xml:space="preserve">Full Faith and Credit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Clause</w:t>
        </w:r>
      </w:hyperlink>
      <w:r w:rsidDel="00000000" w:rsidR="00000000" w:rsidRPr="00000000">
        <w:rPr>
          <w:rFonts w:ascii="Cambria" w:cs="Cambria" w:eastAsia="Cambria" w:hAnsi="Cambria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(5 minutes)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color w:val="000000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Commerce Clause: </w:t>
      </w:r>
      <w:hyperlink r:id="rId8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Commerce Clause</w:t>
        </w:r>
      </w:hyperlink>
      <w:r w:rsidDel="00000000" w:rsidR="00000000" w:rsidRPr="00000000">
        <w:rPr>
          <w:rFonts w:ascii="Cambria" w:cs="Cambria" w:eastAsia="Cambria" w:hAnsi="Cambria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(4.5 minutes)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Necessary and Proper Clause: </w:t>
      </w:r>
      <w:hyperlink r:id="rId9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Necessary and Proper Clause</w:t>
        </w:r>
      </w:hyperlink>
      <w:r w:rsidDel="00000000" w:rsidR="00000000" w:rsidRPr="00000000">
        <w:rPr>
          <w:rFonts w:ascii="Cambria" w:cs="Cambria" w:eastAsia="Cambria" w:hAnsi="Cambria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(4.25 minutes)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Supremacy Clause: </w:t>
      </w:r>
      <w:hyperlink r:id="rId10">
        <w:r w:rsidDel="00000000" w:rsidR="00000000" w:rsidRPr="00000000">
          <w:rPr>
            <w:rFonts w:ascii="Cambria" w:cs="Cambria" w:eastAsia="Cambria" w:hAnsi="Cambria"/>
            <w:color w:val="1155cc"/>
            <w:u w:val="single"/>
            <w:rtl w:val="0"/>
          </w:rPr>
          <w:t xml:space="preserve">Supremacy Clause</w:t>
        </w:r>
      </w:hyperlink>
      <w:r w:rsidDel="00000000" w:rsidR="00000000" w:rsidRPr="00000000">
        <w:rPr>
          <w:rFonts w:ascii="Cambria" w:cs="Cambria" w:eastAsia="Cambria" w:hAnsi="Cambria"/>
          <w:color w:val="1155cc"/>
          <w:u w:val="single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(4.25 minutes)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Cambria" w:cs="Cambria" w:eastAsia="Cambria" w:hAnsi="Cambria"/>
          <w:b w:val="1"/>
          <w:i w:val="1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i w:val="1"/>
          <w:color w:val="000000"/>
          <w:sz w:val="24"/>
          <w:szCs w:val="24"/>
          <w:rtl w:val="0"/>
        </w:rPr>
        <w:t xml:space="preserve">Teacher Notes</w:t>
      </w:r>
    </w:p>
    <w:p w:rsidR="00000000" w:rsidDel="00000000" w:rsidP="00000000" w:rsidRDefault="00000000" w:rsidRPr="00000000" w14:paraId="00000018">
      <w:pPr>
        <w:spacing w:after="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Instruct students watch the videos and take notes on the different clauses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Instruct students choose one of the clauses for which they will create a poster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Students 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may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work by themselves or with a partner. 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Give each student/group one sheet of printer paper to create their posters; students may also complete the poster digitally, with digital artifacts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Th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e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goal is to create a poster that is both visually attractive and informative. 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1440" w:hanging="36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Students will present their poster to the class with the option for question/answer following each presentation.  </w:t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5840" w:w="12240" w:orient="portrait"/>
      <w:pgMar w:bottom="864" w:top="864" w:left="864" w:right="864" w:header="720" w:footer="43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jc w:val="center"/>
      <w:rPr/>
    </w:pPr>
    <w:r w:rsidDel="00000000" w:rsidR="00000000" w:rsidRPr="00000000">
      <w:rPr/>
      <w:drawing>
        <wp:inline distB="0" distT="0" distL="0" distR="0">
          <wp:extent cx="913383" cy="929655"/>
          <wp:effectExtent b="0" l="0" r="0" t="0"/>
          <wp:docPr descr="Macintosh HD:Users:vmcvey:Desktop:FJCC LFI:Logos:FJCC Logos:Circle_FJCC_Logo.png" id="20" name="image2.png"/>
          <a:graphic>
            <a:graphicData uri="http://schemas.openxmlformats.org/drawingml/2006/picture">
              <pic:pic>
                <pic:nvPicPr>
                  <pic:cNvPr descr="Macintosh HD:Users:vmcvey:Desktop:FJCC LFI:Logos:FJCC Logos:Circle_FJCC_Logo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3383" cy="9296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</w:t>
    </w:r>
    <w:r w:rsidDel="00000000" w:rsidR="00000000" w:rsidRPr="00000000">
      <w:rPr/>
      <w:drawing>
        <wp:inline distB="0" distT="0" distL="0" distR="0">
          <wp:extent cx="989910" cy="920125"/>
          <wp:effectExtent b="0" l="0" r="0" t="0"/>
          <wp:docPr descr="Macintosh HD:Users:vmcvey:Desktop:NARA:NARA 2015-2016:SIPS logos:NARA logo.tif" id="21" name="image1.png"/>
          <a:graphic>
            <a:graphicData uri="http://schemas.openxmlformats.org/drawingml/2006/picture">
              <pic:pic>
                <pic:nvPicPr>
                  <pic:cNvPr descr="Macintosh HD:Users:vmcvey:Desktop:NARA:NARA 2015-2016:SIPS logos:NARA logo.tif"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9910" cy="9201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320"/>
        <w:tab w:val="right" w:leader="none" w:pos="864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547E8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ListParagraph">
    <w:name w:val="List Paragraph"/>
    <w:basedOn w:val="Normal"/>
    <w:uiPriority w:val="34"/>
    <w:qFormat w:val="1"/>
    <w:rsid w:val="00D74D31"/>
    <w:pPr>
      <w:ind w:left="720"/>
      <w:contextualSpacing w:val="1"/>
    </w:pPr>
  </w:style>
  <w:style w:type="paragraph" w:styleId="EndnoteText">
    <w:name w:val="endnote text"/>
    <w:basedOn w:val="Normal"/>
    <w:link w:val="EndnoteTextChar"/>
    <w:uiPriority w:val="99"/>
    <w:unhideWhenUsed w:val="1"/>
    <w:rsid w:val="000C37DA"/>
    <w:pPr>
      <w:spacing w:after="0" w:line="240" w:lineRule="auto"/>
    </w:pPr>
    <w:rPr>
      <w:sz w:val="24"/>
      <w:szCs w:val="24"/>
    </w:rPr>
  </w:style>
  <w:style w:type="character" w:styleId="EndnoteTextChar" w:customStyle="1">
    <w:name w:val="Endnote Text Char"/>
    <w:basedOn w:val="DefaultParagraphFont"/>
    <w:link w:val="EndnoteText"/>
    <w:uiPriority w:val="99"/>
    <w:rsid w:val="000C37DA"/>
    <w:rPr>
      <w:sz w:val="24"/>
      <w:szCs w:val="24"/>
    </w:rPr>
  </w:style>
  <w:style w:type="character" w:styleId="EndnoteReference">
    <w:name w:val="endnote reference"/>
    <w:basedOn w:val="DefaultParagraphFont"/>
    <w:uiPriority w:val="99"/>
    <w:unhideWhenUsed w:val="1"/>
    <w:rsid w:val="000C37DA"/>
    <w:rPr>
      <w:vertAlign w:val="superscript"/>
    </w:rPr>
  </w:style>
  <w:style w:type="character" w:styleId="Hyperlink">
    <w:name w:val="Hyperlink"/>
    <w:basedOn w:val="DefaultParagraphFont"/>
    <w:uiPriority w:val="99"/>
    <w:unhideWhenUsed w:val="1"/>
    <w:rsid w:val="000A3EE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 w:val="1"/>
    <w:rsid w:val="00C07EFA"/>
    <w:pPr>
      <w:tabs>
        <w:tab w:val="center" w:pos="4320"/>
        <w:tab w:val="right" w:pos="864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7EFA"/>
  </w:style>
  <w:style w:type="paragraph" w:styleId="Footer">
    <w:name w:val="footer"/>
    <w:basedOn w:val="Normal"/>
    <w:link w:val="FooterChar"/>
    <w:uiPriority w:val="99"/>
    <w:unhideWhenUsed w:val="1"/>
    <w:rsid w:val="00C07EFA"/>
    <w:pPr>
      <w:tabs>
        <w:tab w:val="center" w:pos="4320"/>
        <w:tab w:val="right" w:pos="864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7EFA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07EFA"/>
    <w:pPr>
      <w:spacing w:after="0" w:line="240" w:lineRule="auto"/>
    </w:pPr>
    <w:rPr>
      <w:rFonts w:ascii="Lucida Grande" w:cs="Lucida Grande" w:hAnsi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07EFA"/>
    <w:rPr>
      <w:rFonts w:ascii="Lucida Grande" w:cs="Lucida Grande" w:hAnsi="Lucida Grande"/>
      <w:sz w:val="18"/>
      <w:szCs w:val="18"/>
    </w:rPr>
  </w:style>
  <w:style w:type="character" w:styleId="PageNumber">
    <w:name w:val="page number"/>
    <w:basedOn w:val="DefaultParagraphFont"/>
    <w:uiPriority w:val="99"/>
    <w:semiHidden w:val="1"/>
    <w:unhideWhenUsed w:val="1"/>
    <w:rsid w:val="003E68C3"/>
  </w:style>
  <w:style w:type="table" w:styleId="TableGrid">
    <w:name w:val="Table Grid"/>
    <w:basedOn w:val="TableNormal"/>
    <w:uiPriority w:val="39"/>
    <w:rsid w:val="007034F9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 w:customStyle="1">
    <w:name w:val="Default"/>
    <w:rsid w:val="00441CBD"/>
    <w:pPr>
      <w:autoSpaceDE w:val="0"/>
      <w:autoSpaceDN w:val="0"/>
      <w:adjustRightInd w:val="0"/>
      <w:spacing w:after="0" w:line="240" w:lineRule="auto"/>
    </w:pPr>
    <w:rPr>
      <w:rFonts w:ascii="Times New Roman MT Std" w:cs="Times New Roman MT Std" w:hAnsi="Times New Roman MT Std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E80792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youtube.com/watch?v=ITs4qzwBwLA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youtube.com/watch?v=tYiThE65LfA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6qFNwrNxmD8" TargetMode="External"/><Relationship Id="rId8" Type="http://schemas.openxmlformats.org/officeDocument/2006/relationships/hyperlink" Target="https://www.youtube.com/watch?v=O0DFB68liUM" TargetMode="External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8Fr2uhQTh9cNqPh2asciV9/2dQ==">CgMxLjAyCGguZ2pkZ3hzMgloLjMwajB6bGw4AHIhMTdkaWk5dXZieHJGTmYxVDVndjRTQy1SYVJhdWxlTVZC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2023-09-20T13:17:00Z</dcterms:created>
  <dc:creator>Stephen Masyada</dc:creator>
</cp:coreProperties>
</file>