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70"/>
        <w:gridCol w:w="8160"/>
        <w:tblGridChange w:id="0">
          <w:tblGrid>
            <w:gridCol w:w="2370"/>
            <w:gridCol w:w="8160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Characteristics</w:t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Traditional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Mixed-Market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Socialism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Capitalism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5743575</wp:posOffset>
          </wp:positionH>
          <wp:positionV relativeFrom="paragraph">
            <wp:posOffset>-19049</wp:posOffset>
          </wp:positionV>
          <wp:extent cx="942975" cy="36841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2975" cy="36841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jc w:val="center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32"/>
        <w:szCs w:val="32"/>
        <w:rtl w:val="0"/>
      </w:rPr>
      <w:t xml:space="preserve">Economic Systems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