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10905"/>
        <w:tblGridChange w:id="0">
          <w:tblGrid>
            <w:gridCol w:w="2805"/>
            <w:gridCol w:w="10905"/>
          </w:tblGrid>
        </w:tblGridChange>
      </w:tblGrid>
      <w:tr>
        <w:trPr>
          <w:cantSplit w:val="0"/>
          <w:trHeight w:val="395.9765625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Case Background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were the parties involved in this case?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events occurred that led to this case?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was the Constitutional issue?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8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0"/>
        <w:gridCol w:w="1875"/>
        <w:gridCol w:w="2265"/>
        <w:gridCol w:w="4995"/>
        <w:tblGridChange w:id="0">
          <w:tblGrid>
            <w:gridCol w:w="5250"/>
            <w:gridCol w:w="1875"/>
            <w:gridCol w:w="2265"/>
            <w:gridCol w:w="499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34"/>
                <w:szCs w:val="3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34"/>
                <w:szCs w:val="3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4"/>
                <w:szCs w:val="34"/>
                <w:rtl w:val="0"/>
              </w:rPr>
              <w:t xml:space="preserve">Court Structure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127564</wp:posOffset>
                  </wp:positionV>
                  <wp:extent cx="3028950" cy="2508814"/>
                  <wp:effectExtent b="0" l="0" r="0" t="0"/>
                  <wp:wrapSquare wrapText="bothSides" distB="114300" distT="114300" distL="114300" distR="11430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9272" r="13266" t="350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8950" cy="250881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186705</wp:posOffset>
                      </wp:positionV>
                      <wp:extent cx="1219200" cy="333375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186705</wp:posOffset>
                      </wp:positionV>
                      <wp:extent cx="1219200" cy="333375"/>
                      <wp:effectExtent b="0" l="0" r="0" t="0"/>
                      <wp:wrapNone/>
                      <wp:docPr id="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1920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186705</wp:posOffset>
                      </wp:positionV>
                      <wp:extent cx="833438" cy="33337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186705</wp:posOffset>
                      </wp:positionV>
                      <wp:extent cx="833438" cy="33337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3438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2581275</wp:posOffset>
                      </wp:positionH>
                      <wp:positionV relativeFrom="paragraph">
                        <wp:posOffset>243855</wp:posOffset>
                      </wp:positionV>
                      <wp:extent cx="666750" cy="33337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952200" y="849875"/>
                                <a:ext cx="2476800" cy="1237200"/>
                              </a:xfrm>
                              <a:prstGeom prst="rightArrow">
                                <a:avLst>
                                  <a:gd fmla="val 22308" name="adj1"/>
                                  <a:gd fmla="val 50393" name="adj2"/>
                                </a:avLst>
                              </a:prstGeom>
                              <a:solidFill>
                                <a:srgbClr val="000000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2581275</wp:posOffset>
                      </wp:positionH>
                      <wp:positionV relativeFrom="paragraph">
                        <wp:posOffset>243855</wp:posOffset>
                      </wp:positionV>
                      <wp:extent cx="666750" cy="333375"/>
                      <wp:effectExtent b="0" l="0" r="0" t="0"/>
                      <wp:wrapNone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6675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Court Jurisdiction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(original or appellate)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ruling/decision?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 ruling in the Supreme Court of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Prediction: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Actual Supreme Court Ruling: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vMerge w:val="continue"/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Second ruling in the U.S. Court of Appeals Third Circuit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0.7421875" w:hRule="atLeast"/>
          <w:tblHeader w:val="0"/>
        </w:trPr>
        <w:tc>
          <w:tcPr>
            <w:vMerge w:val="continue"/>
            <w:tcBorders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First ruling in the Eastern District Court of PA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7934325</wp:posOffset>
          </wp:positionH>
          <wp:positionV relativeFrom="paragraph">
            <wp:posOffset>-19049</wp:posOffset>
          </wp:positionV>
          <wp:extent cx="962025" cy="371475"/>
          <wp:effectExtent b="0" l="0" r="0" t="0"/>
          <wp:wrapSquare wrapText="bothSides" distB="19050" distT="19050" distL="19050" distR="1905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3714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jc w:val="center"/>
      <w:rPr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Case Analysis: 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z w:val="32"/>
        <w:szCs w:val="32"/>
        <w:rtl w:val="0"/>
      </w:rPr>
      <w:t xml:space="preserve">Groff v. DeJoy </w:t>
    </w: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(2023)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