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hanging="99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After reading the handout “Power to the States!”, explain each type of power in the boxes. Then answer the short response question below:</w:t>
      </w:r>
    </w:p>
    <w:tbl>
      <w:tblPr>
        <w:tblStyle w:val="Table1"/>
        <w:tblW w:w="11295.0" w:type="dxa"/>
        <w:jc w:val="left"/>
        <w:tblInd w:w="-9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90"/>
        <w:gridCol w:w="3615"/>
        <w:gridCol w:w="4440"/>
        <w:tblGridChange w:id="0">
          <w:tblGrid>
            <w:gridCol w:w="1650"/>
            <w:gridCol w:w="1590"/>
            <w:gridCol w:w="3615"/>
            <w:gridCol w:w="44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0"/>
                <w:tab w:val="left" w:leader="none" w:pos="220"/>
              </w:tabs>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Power/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tabs>
                <w:tab w:val="left" w:leader="none" w:pos="0"/>
                <w:tab w:val="left" w:leader="none" w:pos="220"/>
              </w:tabs>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holds this 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Explain this power in your own words: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tc>
      </w:tr>
      <w:tr>
        <w:trPr>
          <w:cantSplit w:val="0"/>
          <w:trHeight w:val="1964.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Expressed </w:t>
            </w:r>
          </w:p>
          <w:p w:rsidR="00000000" w:rsidDel="00000000" w:rsidP="00000000" w:rsidRDefault="00000000" w:rsidRPr="00000000" w14:paraId="00000007">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 delegated)</w:t>
            </w:r>
          </w:p>
          <w:p w:rsidR="00000000" w:rsidDel="00000000" w:rsidP="00000000" w:rsidRDefault="00000000" w:rsidRPr="00000000" w14:paraId="00000008">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 Section 8</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widowControl w:val="0"/>
              <w:tabs>
                <w:tab w:val="left" w:leader="none" w:pos="0"/>
                <w:tab w:val="left" w:leader="none" w:pos="220"/>
              </w:tabs>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National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Powers specifically granted to the national government in the Constitution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Times New Roman" w:cs="Times New Roman" w:eastAsia="Times New Roman" w:hAnsi="Times New Roman"/>
                <w:color w:val="cc0000"/>
                <w:sz w:val="18"/>
                <w:szCs w:val="18"/>
              </w:rPr>
            </w:pPr>
            <w:r w:rsidDel="00000000" w:rsidR="00000000" w:rsidRPr="00000000">
              <w:rPr>
                <w:rFonts w:ascii="Times New Roman" w:cs="Times New Roman" w:eastAsia="Times New Roman" w:hAnsi="Times New Roman"/>
                <w:color w:val="cc0000"/>
                <w:sz w:val="24"/>
                <w:szCs w:val="24"/>
                <w:rtl w:val="0"/>
              </w:rPr>
              <w:t xml:space="preserve">Coin money, Declare war, Raise armies, Conduct foreign affairs, Rules of Naturalization, Regulate interstate and foreign commerce, Govern US territories and admit new states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Implied </w:t>
            </w:r>
          </w:p>
          <w:p w:rsidR="00000000" w:rsidDel="00000000" w:rsidP="00000000" w:rsidRDefault="00000000" w:rsidRPr="00000000" w14:paraId="00000012">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(inherent)</w:t>
            </w:r>
          </w:p>
          <w:p w:rsidR="00000000" w:rsidDel="00000000" w:rsidP="00000000" w:rsidRDefault="00000000" w:rsidRPr="00000000" w14:paraId="00000013">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w:t>
            </w:r>
          </w:p>
          <w:p w:rsidR="00000000" w:rsidDel="00000000" w:rsidP="00000000" w:rsidRDefault="00000000" w:rsidRPr="00000000" w14:paraId="00000015">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Section 8</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cc0000"/>
                <w:sz w:val="24"/>
                <w:szCs w:val="24"/>
                <w:rtl w:val="0"/>
              </w:rPr>
              <w:t xml:space="preserve">National Government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Powers not spelled out in the Constitution, but powers necessary to carry out the expressed or implied powers</w:t>
            </w:r>
          </w:p>
          <w:p w:rsidR="00000000" w:rsidDel="00000000" w:rsidP="00000000" w:rsidRDefault="00000000" w:rsidRPr="00000000" w14:paraId="00000019">
            <w:pPr>
              <w:widowControl w:val="0"/>
              <w:spacing w:line="240" w:lineRule="auto"/>
              <w:rPr>
                <w:rFonts w:ascii="Times New Roman" w:cs="Times New Roman" w:eastAsia="Times New Roman" w:hAnsi="Times New Roman"/>
                <w:color w:val="cc0000"/>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tabs>
                <w:tab w:val="left" w:leader="none" w:pos="0"/>
                <w:tab w:val="left" w:leader="none" w:pos="220"/>
              </w:tabs>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Manage Federal funds, create cabinet positions, create federal agencies/departments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w:t>
            </w:r>
          </w:p>
          <w:p w:rsidR="00000000" w:rsidDel="00000000" w:rsidP="00000000" w:rsidRDefault="00000000" w:rsidRPr="00000000" w14:paraId="0000001C">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w:t>
            </w:r>
          </w:p>
          <w:p w:rsidR="00000000" w:rsidDel="00000000" w:rsidP="00000000" w:rsidRDefault="00000000" w:rsidRPr="00000000" w14:paraId="0000001E">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cc0000"/>
                <w:sz w:val="24"/>
                <w:szCs w:val="24"/>
                <w:rtl w:val="0"/>
              </w:rPr>
              <w:t xml:space="preserve">State and National Government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tabs>
                <w:tab w:val="left" w:leader="none" w:pos="0"/>
                <w:tab w:val="left" w:leader="none" w:pos="220"/>
              </w:tabs>
              <w:rPr>
                <w:i w:val="1"/>
                <w:sz w:val="20"/>
                <w:szCs w:val="20"/>
              </w:rPr>
            </w:pPr>
            <w:r w:rsidDel="00000000" w:rsidR="00000000" w:rsidRPr="00000000">
              <w:rPr>
                <w:rtl w:val="0"/>
              </w:rPr>
            </w:r>
          </w:p>
          <w:p w:rsidR="00000000" w:rsidDel="00000000" w:rsidP="00000000" w:rsidRDefault="00000000" w:rsidRPr="00000000" w14:paraId="00000022">
            <w:pPr>
              <w:widowControl w:val="0"/>
              <w:tabs>
                <w:tab w:val="left" w:leader="none" w:pos="0"/>
                <w:tab w:val="left" w:leader="none" w:pos="220"/>
              </w:tabs>
              <w:rPr>
                <w:i w:val="1"/>
                <w:sz w:val="20"/>
                <w:szCs w:val="20"/>
              </w:rPr>
            </w:pPr>
            <w:r w:rsidDel="00000000" w:rsidR="00000000" w:rsidRPr="00000000">
              <w:rPr>
                <w:rtl w:val="0"/>
              </w:rPr>
            </w:r>
          </w:p>
          <w:p w:rsidR="00000000" w:rsidDel="00000000" w:rsidP="00000000" w:rsidRDefault="00000000" w:rsidRPr="00000000" w14:paraId="00000023">
            <w:pPr>
              <w:widowControl w:val="0"/>
              <w:spacing w:line="240" w:lineRule="auto"/>
              <w:rPr>
                <w:i w:val="1"/>
                <w:sz w:val="20"/>
                <w:szCs w:val="20"/>
              </w:rPr>
            </w:pPr>
            <w:r w:rsidDel="00000000" w:rsidR="00000000" w:rsidRPr="00000000">
              <w:rPr>
                <w:rFonts w:ascii="Times New Roman" w:cs="Times New Roman" w:eastAsia="Times New Roman" w:hAnsi="Times New Roman"/>
                <w:color w:val="cc0000"/>
                <w:sz w:val="24"/>
                <w:szCs w:val="24"/>
                <w:rtl w:val="0"/>
              </w:rPr>
              <w:t xml:space="preserve">Powers shared by the state and national government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i w:val="1"/>
                <w:color w:val="cc0000"/>
                <w:sz w:val="16"/>
                <w:szCs w:val="16"/>
              </w:rPr>
            </w:pPr>
            <w:r w:rsidDel="00000000" w:rsidR="00000000" w:rsidRPr="00000000">
              <w:rPr>
                <w:rFonts w:ascii="Times New Roman" w:cs="Times New Roman" w:eastAsia="Times New Roman" w:hAnsi="Times New Roman"/>
                <w:color w:val="cc0000"/>
                <w:sz w:val="24"/>
                <w:szCs w:val="24"/>
                <w:rtl w:val="0"/>
              </w:rPr>
              <w:t xml:space="preserve">Tax, Lawmaking, Law enforcement, Eminent Domain, Establish courts, Borrow money, Define crime and set punishments, Claim private property for public use</w:t>
            </w:r>
            <w:r w:rsidDel="00000000" w:rsidR="00000000" w:rsidRPr="00000000">
              <w:rPr>
                <w:rtl w:val="0"/>
              </w:rPr>
            </w:r>
          </w:p>
        </w:tc>
      </w:tr>
      <w:tr>
        <w:trPr>
          <w:cantSplit w:val="0"/>
          <w:trHeight w:val="1664.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Reserved </w:t>
            </w:r>
          </w:p>
          <w:p w:rsidR="00000000" w:rsidDel="00000000" w:rsidP="00000000" w:rsidRDefault="00000000" w:rsidRPr="00000000" w14:paraId="00000026">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cc0000"/>
                <w:sz w:val="24"/>
                <w:szCs w:val="24"/>
                <w:rtl w:val="0"/>
              </w:rPr>
              <w:t xml:space="preserve">State Government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tabs>
                <w:tab w:val="left" w:leader="none" w:pos="0"/>
                <w:tab w:val="left" w:leader="none" w:pos="220"/>
              </w:tabs>
              <w:rPr>
                <w:i w:val="1"/>
                <w:sz w:val="20"/>
                <w:szCs w:val="20"/>
              </w:rPr>
            </w:pPr>
            <w:r w:rsidDel="00000000" w:rsidR="00000000" w:rsidRPr="00000000">
              <w:rPr>
                <w:rtl w:val="0"/>
              </w:rPr>
            </w:r>
          </w:p>
          <w:p w:rsidR="00000000" w:rsidDel="00000000" w:rsidP="00000000" w:rsidRDefault="00000000" w:rsidRPr="00000000" w14:paraId="0000002C">
            <w:pPr>
              <w:widowControl w:val="0"/>
              <w:tabs>
                <w:tab w:val="left" w:leader="none" w:pos="0"/>
                <w:tab w:val="left" w:leader="none" w:pos="220"/>
              </w:tabs>
              <w:rPr>
                <w:i w:val="1"/>
                <w:sz w:val="20"/>
                <w:szCs w:val="20"/>
              </w:rPr>
            </w:pPr>
            <w:r w:rsidDel="00000000" w:rsidR="00000000" w:rsidRPr="00000000">
              <w:rPr>
                <w:rtl w:val="0"/>
              </w:rPr>
            </w:r>
          </w:p>
          <w:p w:rsidR="00000000" w:rsidDel="00000000" w:rsidP="00000000" w:rsidRDefault="00000000" w:rsidRPr="00000000" w14:paraId="0000002D">
            <w:pPr>
              <w:widowControl w:val="0"/>
              <w:spacing w:line="240" w:lineRule="auto"/>
              <w:rPr>
                <w:i w:val="1"/>
                <w:sz w:val="20"/>
                <w:szCs w:val="20"/>
              </w:rPr>
            </w:pPr>
            <w:r w:rsidDel="00000000" w:rsidR="00000000" w:rsidRPr="00000000">
              <w:rPr>
                <w:rFonts w:ascii="Times New Roman" w:cs="Times New Roman" w:eastAsia="Times New Roman" w:hAnsi="Times New Roman"/>
                <w:color w:val="cc0000"/>
                <w:sz w:val="24"/>
                <w:szCs w:val="24"/>
                <w:rtl w:val="0"/>
              </w:rPr>
              <w:t xml:space="preserve">Powers only the states can exercise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i w:val="1"/>
                <w:color w:val="cc0000"/>
                <w:sz w:val="16"/>
                <w:szCs w:val="16"/>
              </w:rPr>
            </w:pPr>
            <w:r w:rsidDel="00000000" w:rsidR="00000000" w:rsidRPr="00000000">
              <w:rPr>
                <w:rFonts w:ascii="Times New Roman" w:cs="Times New Roman" w:eastAsia="Times New Roman" w:hAnsi="Times New Roman"/>
                <w:color w:val="cc0000"/>
                <w:sz w:val="24"/>
                <w:szCs w:val="24"/>
                <w:rtl w:val="0"/>
              </w:rPr>
              <w:t xml:space="preserve">Conduct elections, Establish local government, Regulate intrastate commerce, set up and run public schools, Licensing requirements for professions, Regulate business</w:t>
            </w:r>
            <w:r w:rsidDel="00000000" w:rsidR="00000000" w:rsidRPr="00000000">
              <w:rPr>
                <w:rtl w:val="0"/>
              </w:rPr>
            </w:r>
          </w:p>
        </w:tc>
      </w:tr>
    </w:tbl>
    <w:p w:rsidR="00000000" w:rsidDel="00000000" w:rsidP="00000000" w:rsidRDefault="00000000" w:rsidRPr="00000000" w14:paraId="0000002F">
      <w:pPr>
        <w:ind w:left="-9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Article I, Section 8, Clause 1 [General Welfare Clause]</w:t>
      </w:r>
    </w:p>
    <w:p w:rsidR="00000000" w:rsidDel="00000000" w:rsidP="00000000" w:rsidRDefault="00000000" w:rsidRPr="00000000" w14:paraId="00000030">
      <w:pPr>
        <w:ind w:left="-9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 Congress shall have Power To lay and collect Taxes, Duties, Imposts and Excises, to pay the Debts and provide for the common Defence and general Welfare of the United States; but all Duties, Imposts and Excises shall be uniform throughout the United States; . . .</w:t>
      </w:r>
    </w:p>
    <w:p w:rsidR="00000000" w:rsidDel="00000000" w:rsidP="00000000" w:rsidRDefault="00000000" w:rsidRPr="00000000" w14:paraId="00000031">
      <w:pPr>
        <w:ind w:left="-9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ind w:left="-9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Article I, Section 8, Clause 18 [Necessary and Proper Clause]</w:t>
      </w:r>
    </w:p>
    <w:p w:rsidR="00000000" w:rsidDel="00000000" w:rsidP="00000000" w:rsidRDefault="00000000" w:rsidRPr="00000000" w14:paraId="00000033">
      <w:pPr>
        <w:ind w:left="-9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 Congress shall have Power . . . ] To make all Laws which shall be necessary and proper for carrying into Execution the foregoing Powers, and all other Powers vested by this Constitution in the Government of the United States, or in any Department or Officer thereof.</w:t>
      </w:r>
    </w:p>
    <w:p w:rsidR="00000000" w:rsidDel="00000000" w:rsidP="00000000" w:rsidRDefault="00000000" w:rsidRPr="00000000" w14:paraId="00000034">
      <w:pPr>
        <w:ind w:left="-900"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35">
      <w:pPr>
        <w:ind w:left="-9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role do the two expressed powers above play in granting Congress implied powers? </w:t>
      </w:r>
    </w:p>
    <w:p w:rsidR="00000000" w:rsidDel="00000000" w:rsidP="00000000" w:rsidRDefault="00000000" w:rsidRPr="00000000" w14:paraId="00000036">
      <w:pPr>
        <w:ind w:left="-900" w:firstLine="0"/>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vary: The broader language of these enumerated powers create a pathway to the implied powers. </w:t>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5886450</wp:posOffset>
          </wp:positionH>
          <wp:positionV relativeFrom="paragraph">
            <wp:posOffset>142875</wp:posOffset>
          </wp:positionV>
          <wp:extent cx="805475" cy="31469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5475" cy="314697"/>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cc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Comparing Powers in the U.S. Constitution Organizer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