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ind w:left="-8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After reading “Power to the States!”, explain each type of power in the boxes. Then answer the short response question below:</w:t>
      </w:r>
    </w:p>
    <w:tbl>
      <w:tblPr>
        <w:tblStyle w:val="Table1"/>
        <w:tblW w:w="11100.0" w:type="dxa"/>
        <w:jc w:val="left"/>
        <w:tblInd w:w="-8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30"/>
        <w:gridCol w:w="4005"/>
        <w:gridCol w:w="3915"/>
        <w:tblGridChange w:id="0">
          <w:tblGrid>
            <w:gridCol w:w="1650"/>
            <w:gridCol w:w="1530"/>
            <w:gridCol w:w="4005"/>
            <w:gridCol w:w="39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0"/>
                <w:tab w:val="left" w:leader="none" w:pos="2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tabs>
                <w:tab w:val="left" w:leader="none" w:pos="0"/>
                <w:tab w:val="left" w:leader="none" w:pos="2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holds this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Explain this power in your own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Expressed </w:t>
            </w:r>
          </w:p>
          <w:p w:rsidR="00000000" w:rsidDel="00000000" w:rsidP="00000000" w:rsidRDefault="00000000" w:rsidRPr="00000000" w14:paraId="00000007">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delegated)</w:t>
            </w:r>
          </w:p>
          <w:p w:rsidR="00000000" w:rsidDel="00000000" w:rsidP="00000000" w:rsidRDefault="00000000" w:rsidRPr="00000000" w14:paraId="00000008">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 Section 8</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Implied </w:t>
            </w:r>
          </w:p>
          <w:p w:rsidR="00000000" w:rsidDel="00000000" w:rsidP="00000000" w:rsidRDefault="00000000" w:rsidRPr="00000000" w14:paraId="0000000E">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(inherent)</w:t>
            </w:r>
          </w:p>
          <w:p w:rsidR="00000000" w:rsidDel="00000000" w:rsidP="00000000" w:rsidRDefault="00000000" w:rsidRPr="00000000" w14:paraId="0000000F">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w:t>
            </w:r>
          </w:p>
          <w:p w:rsidR="00000000" w:rsidDel="00000000" w:rsidP="00000000" w:rsidRDefault="00000000" w:rsidRPr="00000000" w14:paraId="00000011">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Section 8</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tabs>
                <w:tab w:val="left" w:leader="none" w:pos="0"/>
                <w:tab w:val="left" w:leader="none" w:pos="220"/>
              </w:tab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tabs>
                <w:tab w:val="left" w:leader="none" w:pos="0"/>
                <w:tab w:val="left" w:leader="none" w:pos="220"/>
              </w:tab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w:t>
            </w:r>
          </w:p>
          <w:p w:rsidR="00000000" w:rsidDel="00000000" w:rsidP="00000000" w:rsidRDefault="00000000" w:rsidRPr="00000000" w14:paraId="00000016">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w:t>
            </w:r>
          </w:p>
          <w:p w:rsidR="00000000" w:rsidDel="00000000" w:rsidP="00000000" w:rsidRDefault="00000000" w:rsidRPr="00000000" w14:paraId="00000018">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tabs>
                <w:tab w:val="left" w:leader="none" w:pos="0"/>
                <w:tab w:val="left" w:leader="none" w:pos="220"/>
              </w:tabs>
              <w:rPr>
                <w:i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tabs>
                <w:tab w:val="left" w:leader="none" w:pos="0"/>
                <w:tab w:val="left" w:leader="none" w:pos="220"/>
              </w:tabs>
              <w:rPr>
                <w:i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w:t>
            </w:r>
          </w:p>
          <w:p w:rsidR="00000000" w:rsidDel="00000000" w:rsidP="00000000" w:rsidRDefault="00000000" w:rsidRPr="00000000" w14:paraId="0000001D">
            <w:pPr>
              <w:widowControl w:val="0"/>
              <w:tabs>
                <w:tab w:val="left" w:leader="none" w:pos="0"/>
                <w:tab w:val="left" w:leader="none" w:pos="2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10th Amendment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tabs>
                <w:tab w:val="left" w:leader="none" w:pos="0"/>
                <w:tab w:val="left" w:leader="none" w:pos="220"/>
              </w:tabs>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tabs>
                <w:tab w:val="left" w:leader="none" w:pos="0"/>
                <w:tab w:val="left" w:leader="none" w:pos="220"/>
              </w:tabs>
              <w:rPr>
                <w:i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tabs>
                <w:tab w:val="left" w:leader="none" w:pos="0"/>
                <w:tab w:val="left" w:leader="none" w:pos="220"/>
              </w:tabs>
              <w:rPr>
                <w:i w:val="1"/>
                <w:sz w:val="20"/>
                <w:szCs w:val="20"/>
              </w:rPr>
            </w:pPr>
            <w:r w:rsidDel="00000000" w:rsidR="00000000" w:rsidRPr="00000000">
              <w:rPr>
                <w:rtl w:val="0"/>
              </w:rPr>
            </w:r>
          </w:p>
        </w:tc>
      </w:tr>
    </w:tbl>
    <w:p w:rsidR="00000000" w:rsidDel="00000000" w:rsidP="00000000" w:rsidRDefault="00000000" w:rsidRPr="00000000" w14:paraId="00000022">
      <w:pPr>
        <w:ind w:left="-9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ind w:left="-9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 I, Section 8, Clause 1 [General Welfare Clause]</w:t>
      </w:r>
    </w:p>
    <w:p w:rsidR="00000000" w:rsidDel="00000000" w:rsidP="00000000" w:rsidRDefault="00000000" w:rsidRPr="00000000" w14:paraId="00000024">
      <w:pPr>
        <w:ind w:left="-9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Congress shall have Power To lay and collect Taxes, Duties, Imposts and Excises, to pay the Debts and provide for the common Defence and general Welfare of the United States; but all Duties, Imposts and Excises shall be uniform throughout the United States; . . .</w:t>
      </w:r>
    </w:p>
    <w:p w:rsidR="00000000" w:rsidDel="00000000" w:rsidP="00000000" w:rsidRDefault="00000000" w:rsidRPr="00000000" w14:paraId="00000025">
      <w:pPr>
        <w:ind w:left="-9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ind w:left="-9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Article I, Section 8, Clause 18 [Necessary and Proper Clause]</w:t>
      </w:r>
    </w:p>
    <w:p w:rsidR="00000000" w:rsidDel="00000000" w:rsidP="00000000" w:rsidRDefault="00000000" w:rsidRPr="00000000" w14:paraId="00000027">
      <w:pPr>
        <w:ind w:left="-9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[The Congress shall have Power . . . ] 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28">
      <w:pPr>
        <w:ind w:left="-90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29">
      <w:pPr>
        <w:ind w:left="-9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role do the two expressed powers above play in granting Congress implied powers? </w:t>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5829300</wp:posOffset>
          </wp:positionH>
          <wp:positionV relativeFrom="paragraph">
            <wp:posOffset>152400</wp:posOffset>
          </wp:positionV>
          <wp:extent cx="805475" cy="31469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5475" cy="314697"/>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Comparing Powers in the U.S. Constitution Organizer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