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Bdr>
          <w:top w:color="d9d9e3" w:space="0" w:sz="0" w:val="none"/>
          <w:left w:color="d9d9e3" w:space="0" w:sz="0" w:val="none"/>
          <w:bottom w:color="d9d9e3" w:space="0" w:sz="0" w:val="none"/>
          <w:right w:color="d9d9e3" w:space="0" w:sz="0" w:val="none"/>
          <w:between w:color="d9d9e3" w:space="0" w:sz="0" w:val="none"/>
        </w:pBd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When learning about the three branches of the U.S. government, one is often taught that the legislative branch makes the laws, the executive branch enforces the laws, and the judicial branch interprets the laws. But what does “enforces the laws” actually mean? Who is responsible for this enforcement?</w:t>
      </w:r>
    </w:p>
    <w:p w:rsidR="00000000" w:rsidDel="00000000" w:rsidP="00000000" w:rsidRDefault="00000000" w:rsidRPr="00000000" w14:paraId="00000002">
      <w:pPr>
        <w:pBdr>
          <w:top w:color="d9d9e3" w:space="0" w:sz="0" w:val="none"/>
          <w:left w:color="d9d9e3" w:space="0" w:sz="0" w:val="none"/>
          <w:bottom w:color="d9d9e3" w:space="0" w:sz="0" w:val="none"/>
          <w:right w:color="d9d9e3" w:space="0" w:sz="0" w:val="none"/>
          <w:between w:color="d9d9e3" w:space="0" w:sz="0" w:val="none"/>
        </w:pBd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3">
      <w:pPr>
        <w:pBdr>
          <w:top w:color="d9d9e3" w:space="0" w:sz="0" w:val="none"/>
          <w:left w:color="d9d9e3" w:space="0" w:sz="0" w:val="none"/>
          <w:bottom w:color="d9d9e3" w:space="0" w:sz="0" w:val="none"/>
          <w:right w:color="d9d9e3" w:space="0" w:sz="0" w:val="none"/>
          <w:between w:color="d9d9e3" w:space="0" w:sz="0" w:val="none"/>
        </w:pBd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executive branch encompasses more than 4 million employees. Much of the enforcement responsibility of the executive branch falls to</w:t>
      </w:r>
      <w:r w:rsidDel="00000000" w:rsidR="00000000" w:rsidRPr="00000000">
        <w:rPr>
          <w:rFonts w:ascii="Times New Roman" w:cs="Times New Roman" w:eastAsia="Times New Roman" w:hAnsi="Times New Roman"/>
          <w:b w:val="1"/>
          <w:sz w:val="24"/>
          <w:szCs w:val="24"/>
          <w:rtl w:val="0"/>
        </w:rPr>
        <w:t xml:space="preserve"> independent regulatory agencies</w:t>
      </w:r>
      <w:r w:rsidDel="00000000" w:rsidR="00000000" w:rsidRPr="00000000">
        <w:rPr>
          <w:rFonts w:ascii="Times New Roman" w:cs="Times New Roman" w:eastAsia="Times New Roman" w:hAnsi="Times New Roman"/>
          <w:sz w:val="24"/>
          <w:szCs w:val="24"/>
          <w:rtl w:val="0"/>
        </w:rPr>
        <w:t xml:space="preserve">. The purpose of these agencies is to take the broader policies and laws enacted by Congress and develop and enforce rules and regulations in their assigned area. They supervise areas that are often too complex to regulate through laws and statutes alone. For example, the very first independent agency created in the U.S. government was the Interstate Commerce Commission in 1887. Their purpose was to regulate the vastly growing railroad industry. </w:t>
      </w:r>
      <w:r w:rsidDel="00000000" w:rsidR="00000000" w:rsidRPr="00000000">
        <w:drawing>
          <wp:anchor allowOverlap="1" behindDoc="0" distB="114300" distT="114300" distL="114300" distR="114300" hidden="0" layoutInCell="1" locked="0" relativeHeight="0" simplePos="0">
            <wp:simplePos x="0" y="0"/>
            <wp:positionH relativeFrom="column">
              <wp:posOffset>4972050</wp:posOffset>
            </wp:positionH>
            <wp:positionV relativeFrom="paragraph">
              <wp:posOffset>129555</wp:posOffset>
            </wp:positionV>
            <wp:extent cx="1140321" cy="1140321"/>
            <wp:effectExtent b="0" l="0" r="0" t="0"/>
            <wp:wrapSquare wrapText="bothSides" distB="114300" distT="114300" distL="114300" distR="114300"/>
            <wp:docPr id="1"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1140321" cy="1140321"/>
                    </a:xfrm>
                    <a:prstGeom prst="rect"/>
                    <a:ln/>
                  </pic:spPr>
                </pic:pic>
              </a:graphicData>
            </a:graphic>
          </wp:anchor>
        </w:drawing>
      </w:r>
    </w:p>
    <w:p w:rsidR="00000000" w:rsidDel="00000000" w:rsidP="00000000" w:rsidRDefault="00000000" w:rsidRPr="00000000" w14:paraId="00000004">
      <w:pPr>
        <w:pBdr>
          <w:top w:color="d9d9e3" w:space="0" w:sz="0" w:val="none"/>
          <w:left w:color="d9d9e3" w:space="0" w:sz="0" w:val="none"/>
          <w:bottom w:color="d9d9e3" w:space="0" w:sz="0" w:val="none"/>
          <w:right w:color="d9d9e3" w:space="0" w:sz="0" w:val="none"/>
          <w:between w:color="d9d9e3" w:space="0" w:sz="0" w:val="none"/>
        </w:pBd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5">
      <w:pPr>
        <w:pBdr>
          <w:top w:color="d9d9e3" w:space="0" w:sz="0" w:val="none"/>
          <w:left w:color="d9d9e3" w:space="0" w:sz="0" w:val="none"/>
          <w:bottom w:color="d9d9e3" w:space="0" w:sz="0" w:val="none"/>
          <w:right w:color="d9d9e3" w:space="0" w:sz="0" w:val="none"/>
          <w:between w:color="d9d9e3" w:space="0" w:sz="0" w:val="none"/>
        </w:pBd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role and relationship between independent regulatory agencies and the three branches of government is where things get interesting and complicated. </w:t>
      </w:r>
      <w:r w:rsidDel="00000000" w:rsidR="00000000" w:rsidRPr="00000000">
        <w:rPr>
          <w:rFonts w:ascii="Times New Roman" w:cs="Times New Roman" w:eastAsia="Times New Roman" w:hAnsi="Times New Roman"/>
          <w:sz w:val="24"/>
          <w:szCs w:val="24"/>
          <w:rtl w:val="0"/>
        </w:rPr>
        <w:t xml:space="preserve">Congress creates independent regulatory agencies through legislation. Congress grants them authority to regulate a particular area. These areas range from communications, elections, labor, and more. Congress will also outline how much rulemaking authority each one has to create and enforce regulations within their designated areas. This allows independent regulatory agencies to play a vital role in ensuring compliance with laws, safeguarding consumer rights, and maintaining safety standards.</w:t>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209550</wp:posOffset>
            </wp:positionV>
            <wp:extent cx="1143000" cy="1143000"/>
            <wp:effectExtent b="0" l="0" r="0" t="0"/>
            <wp:wrapSquare wrapText="bothSides" distB="114300" distT="114300" distL="114300" distR="114300"/>
            <wp:docPr id="4" name="image4.png"/>
            <a:graphic>
              <a:graphicData uri="http://schemas.openxmlformats.org/drawingml/2006/picture">
                <pic:pic>
                  <pic:nvPicPr>
                    <pic:cNvPr id="0" name="image4.png"/>
                    <pic:cNvPicPr preferRelativeResize="0"/>
                  </pic:nvPicPr>
                  <pic:blipFill>
                    <a:blip r:embed="rId7"/>
                    <a:srcRect b="0" l="0" r="0" t="0"/>
                    <a:stretch>
                      <a:fillRect/>
                    </a:stretch>
                  </pic:blipFill>
                  <pic:spPr>
                    <a:xfrm>
                      <a:off x="0" y="0"/>
                      <a:ext cx="1143000" cy="1143000"/>
                    </a:xfrm>
                    <a:prstGeom prst="rect"/>
                    <a:ln/>
                  </pic:spPr>
                </pic:pic>
              </a:graphicData>
            </a:graphic>
          </wp:anchor>
        </w:drawing>
      </w:r>
    </w:p>
    <w:p w:rsidR="00000000" w:rsidDel="00000000" w:rsidP="00000000" w:rsidRDefault="00000000" w:rsidRPr="00000000" w14:paraId="00000006">
      <w:pPr>
        <w:pBdr>
          <w:top w:color="d9d9e3" w:space="0" w:sz="0" w:val="none"/>
          <w:left w:color="d9d9e3" w:space="0" w:sz="0" w:val="none"/>
          <w:bottom w:color="d9d9e3" w:space="0" w:sz="0" w:val="none"/>
          <w:right w:color="d9d9e3" w:space="0" w:sz="0" w:val="none"/>
          <w:between w:color="d9d9e3" w:space="0" w:sz="0" w:val="none"/>
        </w:pBdr>
        <w:spacing w:after="0" w:before="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7">
      <w:pPr>
        <w:pBdr>
          <w:top w:color="d9d9e3" w:space="0" w:sz="0" w:val="none"/>
          <w:left w:color="d9d9e3" w:space="0" w:sz="0" w:val="none"/>
          <w:bottom w:color="d9d9e3" w:space="0" w:sz="0" w:val="none"/>
          <w:right w:color="d9d9e3" w:space="0" w:sz="0" w:val="none"/>
          <w:between w:color="d9d9e3" w:space="0" w:sz="0" w:val="none"/>
        </w:pBd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While gaining authority from Congress, independent regulatory agencies organizationally fall under the executive branch. However, unlike other executive agencies, like Cabinet departments, independent regulatory agencies are, as the name implies, more independent. They are not subject to the control of the president or the executive branch. In fact, the heads of these agencies often remain in their positions through numerous presidential administrations. This ensures that they can do their jobs without having to worry about politics. Most independent regulatory agencies are bipartisan, meaning they are made up of members from different political parties. </w:t>
      </w:r>
      <w:r w:rsidDel="00000000" w:rsidR="00000000" w:rsidRPr="00000000">
        <w:drawing>
          <wp:anchor allowOverlap="1" behindDoc="0" distB="114300" distT="114300" distL="114300" distR="114300" hidden="0" layoutInCell="1" locked="0" relativeHeight="0" simplePos="0">
            <wp:simplePos x="0" y="0"/>
            <wp:positionH relativeFrom="column">
              <wp:posOffset>4972050</wp:posOffset>
            </wp:positionH>
            <wp:positionV relativeFrom="paragraph">
              <wp:posOffset>142875</wp:posOffset>
            </wp:positionV>
            <wp:extent cx="1143000" cy="1143000"/>
            <wp:effectExtent b="0" l="0" r="0" t="0"/>
            <wp:wrapSquare wrapText="bothSides" distB="114300" distT="114300" distL="114300" distR="114300"/>
            <wp:docPr id="2" name="image3.png"/>
            <a:graphic>
              <a:graphicData uri="http://schemas.openxmlformats.org/drawingml/2006/picture">
                <pic:pic>
                  <pic:nvPicPr>
                    <pic:cNvPr id="0" name="image3.png"/>
                    <pic:cNvPicPr preferRelativeResize="0"/>
                  </pic:nvPicPr>
                  <pic:blipFill>
                    <a:blip r:embed="rId8"/>
                    <a:srcRect b="0" l="0" r="0" t="0"/>
                    <a:stretch>
                      <a:fillRect/>
                    </a:stretch>
                  </pic:blipFill>
                  <pic:spPr>
                    <a:xfrm>
                      <a:off x="0" y="0"/>
                      <a:ext cx="1143000" cy="1143000"/>
                    </a:xfrm>
                    <a:prstGeom prst="rect"/>
                    <a:ln/>
                  </pic:spPr>
                </pic:pic>
              </a:graphicData>
            </a:graphic>
          </wp:anchor>
        </w:drawing>
      </w:r>
    </w:p>
    <w:p w:rsidR="00000000" w:rsidDel="00000000" w:rsidP="00000000" w:rsidRDefault="00000000" w:rsidRPr="00000000" w14:paraId="00000008">
      <w:pPr>
        <w:pBdr>
          <w:top w:color="d9d9e3" w:space="0" w:sz="0" w:val="none"/>
          <w:left w:color="d9d9e3" w:space="0" w:sz="0" w:val="none"/>
          <w:bottom w:color="d9d9e3" w:space="0" w:sz="0" w:val="none"/>
          <w:right w:color="d9d9e3" w:space="0" w:sz="0" w:val="none"/>
          <w:between w:color="d9d9e3" w:space="0" w:sz="0" w:val="none"/>
        </w:pBdr>
        <w:spacing w:before="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9">
      <w:pPr>
        <w:pBdr>
          <w:top w:color="d9d9e3" w:space="0" w:sz="0" w:val="none"/>
          <w:left w:color="d9d9e3" w:space="0" w:sz="0" w:val="none"/>
          <w:bottom w:color="d9d9e3" w:space="0" w:sz="0" w:val="none"/>
          <w:right w:color="d9d9e3" w:space="0" w:sz="0" w:val="none"/>
          <w:between w:color="d9d9e3" w:space="0" w:sz="0" w:val="none"/>
        </w:pBd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Independent regulatory agencies present both advantages and disadvantages. One of the largest advantages is the expertise and focus these agencies bring to their areas of responsibility. Their independence from the executive departments and direct presidential authority allows them to make decisions based on their expert knowledge of the issues at hand without bowing to immediate political interests. Having “experts” and not “politicians” make up the workforce of these agencies also allows for continuity in these policy areas from one government administration to the next. This provides more public trust in the regulations and rules they create. The ability of these independent agencies to regulate industries like financial markets or telecommunications helps prevent the concentration of power into just a few hands and helps ensure fair practices for all Americans.</w:t>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723900</wp:posOffset>
            </wp:positionV>
            <wp:extent cx="1143000" cy="1143000"/>
            <wp:effectExtent b="0" l="0" r="0" t="0"/>
            <wp:wrapSquare wrapText="bothSides" distB="114300" distT="114300" distL="114300" distR="114300"/>
            <wp:docPr id="6" name="image5.png"/>
            <a:graphic>
              <a:graphicData uri="http://schemas.openxmlformats.org/drawingml/2006/picture">
                <pic:pic>
                  <pic:nvPicPr>
                    <pic:cNvPr id="0" name="image5.png"/>
                    <pic:cNvPicPr preferRelativeResize="0"/>
                  </pic:nvPicPr>
                  <pic:blipFill>
                    <a:blip r:embed="rId9"/>
                    <a:srcRect b="0" l="0" r="0" t="0"/>
                    <a:stretch>
                      <a:fillRect/>
                    </a:stretch>
                  </pic:blipFill>
                  <pic:spPr>
                    <a:xfrm>
                      <a:off x="0" y="0"/>
                      <a:ext cx="1143000" cy="1143000"/>
                    </a:xfrm>
                    <a:prstGeom prst="rect"/>
                    <a:ln/>
                  </pic:spPr>
                </pic:pic>
              </a:graphicData>
            </a:graphic>
          </wp:anchor>
        </w:drawing>
      </w:r>
    </w:p>
    <w:p w:rsidR="00000000" w:rsidDel="00000000" w:rsidP="00000000" w:rsidRDefault="00000000" w:rsidRPr="00000000" w14:paraId="0000000A">
      <w:pPr>
        <w:pBdr>
          <w:top w:color="d9d9e3" w:space="0" w:sz="0" w:val="none"/>
          <w:left w:color="d9d9e3" w:space="0" w:sz="0" w:val="none"/>
          <w:bottom w:color="d9d9e3" w:space="0" w:sz="0" w:val="none"/>
          <w:right w:color="d9d9e3" w:space="0" w:sz="0" w:val="none"/>
          <w:between w:color="d9d9e3" w:space="0" w:sz="0" w:val="none"/>
        </w:pBd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However, this independence can also present challenges. Some critics argue that because Congress has delegated some of its authority, and these agencies aren't directly accountable to the president, they aren’t democratically responsive. Their independence may also lead to a lack of coordination with other government branches or conflicts in decision-making. Another concern is that independent agencies, due to their expertise, can sometimes be subject to undue influence by the industries they are supposed to oversee. </w:t>
      </w:r>
    </w:p>
    <w:p w:rsidR="00000000" w:rsidDel="00000000" w:rsidP="00000000" w:rsidRDefault="00000000" w:rsidRPr="00000000" w14:paraId="0000000B">
      <w:pPr>
        <w:pBdr>
          <w:top w:color="d9d9e3" w:space="0" w:sz="0" w:val="none"/>
          <w:left w:color="d9d9e3" w:space="0" w:sz="0" w:val="none"/>
          <w:bottom w:color="d9d9e3" w:space="0" w:sz="0" w:val="none"/>
          <w:right w:color="d9d9e3" w:space="0" w:sz="0" w:val="none"/>
          <w:between w:color="d9d9e3" w:space="0" w:sz="0" w:val="none"/>
        </w:pBd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C">
      <w:pPr>
        <w:pBdr>
          <w:top w:color="d9d9e3" w:space="0" w:sz="0" w:val="none"/>
          <w:left w:color="d9d9e3" w:space="0" w:sz="0" w:val="none"/>
          <w:bottom w:color="d9d9e3" w:space="0" w:sz="0" w:val="none"/>
          <w:right w:color="d9d9e3" w:space="0" w:sz="0" w:val="none"/>
          <w:between w:color="d9d9e3" w:space="0" w:sz="0" w:val="none"/>
        </w:pBd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Striking the right balance between autonomy and oversight is crucial to making the system of independent regulatory agencies beneficial to American citizens and our constitutional republic.</w:t>
      </w:r>
    </w:p>
    <w:p w:rsidR="00000000" w:rsidDel="00000000" w:rsidP="00000000" w:rsidRDefault="00000000" w:rsidRPr="00000000" w14:paraId="0000000D">
      <w:pPr>
        <w:pBdr>
          <w:top w:color="d9d9e3" w:space="0" w:sz="0" w:val="none"/>
          <w:left w:color="d9d9e3" w:space="0" w:sz="0" w:val="none"/>
          <w:bottom w:color="d9d9e3" w:space="0" w:sz="0" w:val="none"/>
          <w:right w:color="d9d9e3" w:space="0" w:sz="0" w:val="none"/>
          <w:between w:color="d9d9e3" w:space="0" w:sz="0" w:val="none"/>
        </w:pBd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E">
      <w:pPr>
        <w:pBdr>
          <w:top w:color="d9d9e3" w:space="0" w:sz="0" w:val="none"/>
          <w:left w:color="d9d9e3" w:space="0" w:sz="0" w:val="none"/>
          <w:bottom w:color="d9d9e3" w:space="0" w:sz="0" w:val="none"/>
          <w:right w:color="d9d9e3" w:space="0" w:sz="0" w:val="none"/>
          <w:between w:color="d9d9e3" w:space="0" w:sz="0" w:val="none"/>
        </w:pBdr>
        <w:spacing w:after="20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Reading Questions</w:t>
      </w:r>
    </w:p>
    <w:p w:rsidR="00000000" w:rsidDel="00000000" w:rsidP="00000000" w:rsidRDefault="00000000" w:rsidRPr="00000000" w14:paraId="0000000F">
      <w:pPr>
        <w:numPr>
          <w:ilvl w:val="0"/>
          <w:numId w:val="1"/>
        </w:numPr>
        <w:pBdr>
          <w:top w:color="d9d9e3" w:space="0" w:sz="0" w:val="none"/>
          <w:left w:color="d9d9e3" w:space="0" w:sz="0" w:val="none"/>
          <w:bottom w:color="d9d9e3" w:space="0" w:sz="0" w:val="none"/>
          <w:right w:color="d9d9e3" w:space="0" w:sz="0" w:val="none"/>
          <w:between w:color="d9d9e3" w:space="0" w:sz="0" w:val="none"/>
        </w:pBdr>
        <w:spacing w:line="240" w:lineRule="auto"/>
        <w:ind w:left="720" w:hanging="360"/>
        <w:rPr>
          <w:rFonts w:ascii="Times New Roman" w:cs="Times New Roman" w:eastAsia="Times New Roman" w:hAnsi="Times New Roman"/>
          <w:b w:val="1"/>
          <w:sz w:val="24"/>
          <w:szCs w:val="24"/>
          <w:u w:val="none"/>
        </w:rPr>
      </w:pPr>
      <w:r w:rsidDel="00000000" w:rsidR="00000000" w:rsidRPr="00000000">
        <w:rPr>
          <w:rFonts w:ascii="Times New Roman" w:cs="Times New Roman" w:eastAsia="Times New Roman" w:hAnsi="Times New Roman"/>
          <w:b w:val="1"/>
          <w:sz w:val="24"/>
          <w:szCs w:val="24"/>
          <w:rtl w:val="0"/>
        </w:rPr>
        <w:t xml:space="preserve">What is an independent regulatory agency?</w:t>
      </w:r>
    </w:p>
    <w:p w:rsidR="00000000" w:rsidDel="00000000" w:rsidP="00000000" w:rsidRDefault="00000000" w:rsidRPr="00000000" w14:paraId="00000010">
      <w:pPr>
        <w:pBdr>
          <w:top w:color="d9d9e3" w:space="0" w:sz="0" w:val="none"/>
          <w:left w:color="d9d9e3" w:space="0" w:sz="0" w:val="none"/>
          <w:bottom w:color="d9d9e3" w:space="0" w:sz="0" w:val="none"/>
          <w:right w:color="d9d9e3" w:space="0" w:sz="0" w:val="none"/>
          <w:between w:color="d9d9e3" w:space="0" w:sz="0" w:val="none"/>
        </w:pBdr>
        <w:spacing w:line="240" w:lineRule="auto"/>
        <w:ind w:left="72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1">
      <w:pPr>
        <w:pBdr>
          <w:top w:color="d9d9e3" w:space="0" w:sz="0" w:val="none"/>
          <w:left w:color="d9d9e3" w:space="0" w:sz="0" w:val="none"/>
          <w:bottom w:color="d9d9e3" w:space="0" w:sz="0" w:val="none"/>
          <w:right w:color="d9d9e3" w:space="0" w:sz="0" w:val="none"/>
          <w:between w:color="d9d9e3" w:space="0" w:sz="0" w:val="none"/>
        </w:pBdr>
        <w:spacing w:line="240" w:lineRule="auto"/>
        <w:ind w:left="72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2">
      <w:pPr>
        <w:pBdr>
          <w:top w:color="d9d9e3" w:space="0" w:sz="0" w:val="none"/>
          <w:left w:color="d9d9e3" w:space="0" w:sz="0" w:val="none"/>
          <w:bottom w:color="d9d9e3" w:space="0" w:sz="0" w:val="none"/>
          <w:right w:color="d9d9e3" w:space="0" w:sz="0" w:val="none"/>
          <w:between w:color="d9d9e3" w:space="0" w:sz="0" w:val="none"/>
        </w:pBdr>
        <w:spacing w:line="240" w:lineRule="auto"/>
        <w:ind w:left="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3">
      <w:pPr>
        <w:pBdr>
          <w:top w:color="d9d9e3" w:space="0" w:sz="0" w:val="none"/>
          <w:left w:color="d9d9e3" w:space="0" w:sz="0" w:val="none"/>
          <w:bottom w:color="d9d9e3" w:space="0" w:sz="0" w:val="none"/>
          <w:right w:color="d9d9e3" w:space="0" w:sz="0" w:val="none"/>
          <w:between w:color="d9d9e3" w:space="0" w:sz="0" w:val="none"/>
        </w:pBdr>
        <w:spacing w:line="240" w:lineRule="auto"/>
        <w:ind w:left="72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4">
      <w:pPr>
        <w:pBdr>
          <w:top w:color="d9d9e3" w:space="0" w:sz="0" w:val="none"/>
          <w:left w:color="d9d9e3" w:space="0" w:sz="0" w:val="none"/>
          <w:bottom w:color="d9d9e3" w:space="0" w:sz="0" w:val="none"/>
          <w:right w:color="d9d9e3" w:space="0" w:sz="0" w:val="none"/>
          <w:between w:color="d9d9e3" w:space="0" w:sz="0" w:val="none"/>
        </w:pBdr>
        <w:spacing w:line="240" w:lineRule="auto"/>
        <w:ind w:left="72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5">
      <w:pPr>
        <w:numPr>
          <w:ilvl w:val="0"/>
          <w:numId w:val="1"/>
        </w:numPr>
        <w:pBdr>
          <w:top w:color="d9d9e3" w:space="0" w:sz="0" w:val="none"/>
          <w:left w:color="d9d9e3" w:space="0" w:sz="0" w:val="none"/>
          <w:bottom w:color="d9d9e3" w:space="0" w:sz="0" w:val="none"/>
          <w:right w:color="d9d9e3" w:space="0" w:sz="0" w:val="none"/>
          <w:between w:color="d9d9e3" w:space="0" w:sz="0" w:val="none"/>
        </w:pBdr>
        <w:spacing w:line="240" w:lineRule="auto"/>
        <w:ind w:left="720" w:hanging="360"/>
        <w:rPr>
          <w:rFonts w:ascii="Times New Roman" w:cs="Times New Roman" w:eastAsia="Times New Roman" w:hAnsi="Times New Roman"/>
          <w:b w:val="1"/>
          <w:sz w:val="24"/>
          <w:szCs w:val="24"/>
          <w:u w:val="none"/>
        </w:rPr>
      </w:pPr>
      <w:r w:rsidDel="00000000" w:rsidR="00000000" w:rsidRPr="00000000">
        <w:rPr>
          <w:rFonts w:ascii="Times New Roman" w:cs="Times New Roman" w:eastAsia="Times New Roman" w:hAnsi="Times New Roman"/>
          <w:b w:val="1"/>
          <w:sz w:val="24"/>
          <w:szCs w:val="24"/>
          <w:rtl w:val="0"/>
        </w:rPr>
        <w:t xml:space="preserve">How do independent regulatory agencies interact with the branches of government?</w:t>
      </w:r>
    </w:p>
    <w:p w:rsidR="00000000" w:rsidDel="00000000" w:rsidP="00000000" w:rsidRDefault="00000000" w:rsidRPr="00000000" w14:paraId="00000016">
      <w:pPr>
        <w:pBdr>
          <w:top w:color="d9d9e3" w:space="0" w:sz="0" w:val="none"/>
          <w:left w:color="d9d9e3" w:space="0" w:sz="0" w:val="none"/>
          <w:bottom w:color="d9d9e3" w:space="0" w:sz="0" w:val="none"/>
          <w:right w:color="d9d9e3" w:space="0" w:sz="0" w:val="none"/>
          <w:between w:color="d9d9e3" w:space="0" w:sz="0" w:val="none"/>
        </w:pBdr>
        <w:spacing w:line="240" w:lineRule="auto"/>
        <w:ind w:left="72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7">
      <w:pPr>
        <w:pBdr>
          <w:top w:color="d9d9e3" w:space="0" w:sz="0" w:val="none"/>
          <w:left w:color="d9d9e3" w:space="0" w:sz="0" w:val="none"/>
          <w:bottom w:color="d9d9e3" w:space="0" w:sz="0" w:val="none"/>
          <w:right w:color="d9d9e3" w:space="0" w:sz="0" w:val="none"/>
          <w:between w:color="d9d9e3" w:space="0" w:sz="0" w:val="none"/>
        </w:pBdr>
        <w:spacing w:line="240" w:lineRule="auto"/>
        <w:ind w:left="72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8">
      <w:pPr>
        <w:pBdr>
          <w:top w:color="d9d9e3" w:space="0" w:sz="0" w:val="none"/>
          <w:left w:color="d9d9e3" w:space="0" w:sz="0" w:val="none"/>
          <w:bottom w:color="d9d9e3" w:space="0" w:sz="0" w:val="none"/>
          <w:right w:color="d9d9e3" w:space="0" w:sz="0" w:val="none"/>
          <w:between w:color="d9d9e3" w:space="0" w:sz="0" w:val="none"/>
        </w:pBdr>
        <w:spacing w:line="240" w:lineRule="auto"/>
        <w:ind w:left="72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9">
      <w:pPr>
        <w:pBdr>
          <w:top w:color="d9d9e3" w:space="0" w:sz="0" w:val="none"/>
          <w:left w:color="d9d9e3" w:space="0" w:sz="0" w:val="none"/>
          <w:bottom w:color="d9d9e3" w:space="0" w:sz="0" w:val="none"/>
          <w:right w:color="d9d9e3" w:space="0" w:sz="0" w:val="none"/>
          <w:between w:color="d9d9e3" w:space="0" w:sz="0" w:val="none"/>
        </w:pBdr>
        <w:spacing w:line="240" w:lineRule="auto"/>
        <w:ind w:left="72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A">
      <w:pPr>
        <w:pBdr>
          <w:top w:color="d9d9e3" w:space="0" w:sz="0" w:val="none"/>
          <w:left w:color="d9d9e3" w:space="0" w:sz="0" w:val="none"/>
          <w:bottom w:color="d9d9e3" w:space="0" w:sz="0" w:val="none"/>
          <w:right w:color="d9d9e3" w:space="0" w:sz="0" w:val="none"/>
          <w:between w:color="d9d9e3" w:space="0" w:sz="0" w:val="none"/>
        </w:pBdr>
        <w:spacing w:line="240" w:lineRule="auto"/>
        <w:ind w:left="72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B">
      <w:pPr>
        <w:pBdr>
          <w:top w:color="d9d9e3" w:space="0" w:sz="0" w:val="none"/>
          <w:left w:color="d9d9e3" w:space="0" w:sz="0" w:val="none"/>
          <w:bottom w:color="d9d9e3" w:space="0" w:sz="0" w:val="none"/>
          <w:right w:color="d9d9e3" w:space="0" w:sz="0" w:val="none"/>
          <w:between w:color="d9d9e3" w:space="0" w:sz="0" w:val="none"/>
        </w:pBdr>
        <w:spacing w:line="240" w:lineRule="auto"/>
        <w:ind w:left="72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C">
      <w:pPr>
        <w:pBdr>
          <w:top w:color="d9d9e3" w:space="0" w:sz="0" w:val="none"/>
          <w:left w:color="d9d9e3" w:space="0" w:sz="0" w:val="none"/>
          <w:bottom w:color="d9d9e3" w:space="0" w:sz="0" w:val="none"/>
          <w:right w:color="d9d9e3" w:space="0" w:sz="0" w:val="none"/>
          <w:between w:color="d9d9e3" w:space="0" w:sz="0" w:val="none"/>
        </w:pBdr>
        <w:spacing w:line="240" w:lineRule="auto"/>
        <w:ind w:left="72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D">
      <w:pPr>
        <w:pBdr>
          <w:top w:color="d9d9e3" w:space="0" w:sz="0" w:val="none"/>
          <w:left w:color="d9d9e3" w:space="0" w:sz="0" w:val="none"/>
          <w:bottom w:color="d9d9e3" w:space="0" w:sz="0" w:val="none"/>
          <w:right w:color="d9d9e3" w:space="0" w:sz="0" w:val="none"/>
          <w:between w:color="d9d9e3" w:space="0" w:sz="0" w:val="none"/>
        </w:pBdr>
        <w:spacing w:line="240" w:lineRule="auto"/>
        <w:ind w:left="72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E">
      <w:pPr>
        <w:numPr>
          <w:ilvl w:val="0"/>
          <w:numId w:val="1"/>
        </w:numPr>
        <w:pBdr>
          <w:top w:color="d9d9e3" w:space="0" w:sz="0" w:val="none"/>
          <w:left w:color="d9d9e3" w:space="0" w:sz="0" w:val="none"/>
          <w:bottom w:color="d9d9e3" w:space="0" w:sz="0" w:val="none"/>
          <w:right w:color="d9d9e3" w:space="0" w:sz="0" w:val="none"/>
          <w:between w:color="d9d9e3" w:space="0" w:sz="0" w:val="none"/>
        </w:pBdr>
        <w:spacing w:line="240" w:lineRule="auto"/>
        <w:ind w:left="720" w:hanging="360"/>
        <w:rPr>
          <w:rFonts w:ascii="Times New Roman" w:cs="Times New Roman" w:eastAsia="Times New Roman" w:hAnsi="Times New Roman"/>
          <w:b w:val="1"/>
          <w:sz w:val="24"/>
          <w:szCs w:val="24"/>
          <w:u w:val="none"/>
        </w:rPr>
      </w:pPr>
      <w:r w:rsidDel="00000000" w:rsidR="00000000" w:rsidRPr="00000000">
        <w:rPr>
          <w:rFonts w:ascii="Times New Roman" w:cs="Times New Roman" w:eastAsia="Times New Roman" w:hAnsi="Times New Roman"/>
          <w:b w:val="1"/>
          <w:sz w:val="24"/>
          <w:szCs w:val="24"/>
          <w:rtl w:val="0"/>
        </w:rPr>
        <w:t xml:space="preserve">What are 2 advantages of delegating power to independent regulatory agencies?</w:t>
      </w:r>
    </w:p>
    <w:p w:rsidR="00000000" w:rsidDel="00000000" w:rsidP="00000000" w:rsidRDefault="00000000" w:rsidRPr="00000000" w14:paraId="0000001F">
      <w:pPr>
        <w:pBdr>
          <w:top w:color="d9d9e3" w:space="0" w:sz="0" w:val="none"/>
          <w:left w:color="d9d9e3" w:space="0" w:sz="0" w:val="none"/>
          <w:bottom w:color="d9d9e3" w:space="0" w:sz="0" w:val="none"/>
          <w:right w:color="d9d9e3" w:space="0" w:sz="0" w:val="none"/>
          <w:between w:color="d9d9e3" w:space="0" w:sz="0" w:val="none"/>
        </w:pBdr>
        <w:spacing w:line="240" w:lineRule="auto"/>
        <w:ind w:left="72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20">
      <w:pPr>
        <w:pBdr>
          <w:top w:color="d9d9e3" w:space="0" w:sz="0" w:val="none"/>
          <w:left w:color="d9d9e3" w:space="0" w:sz="0" w:val="none"/>
          <w:bottom w:color="d9d9e3" w:space="0" w:sz="0" w:val="none"/>
          <w:right w:color="d9d9e3" w:space="0" w:sz="0" w:val="none"/>
          <w:between w:color="d9d9e3" w:space="0" w:sz="0" w:val="none"/>
        </w:pBdr>
        <w:spacing w:line="240" w:lineRule="auto"/>
        <w:ind w:left="72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21">
      <w:pPr>
        <w:pBdr>
          <w:top w:color="d9d9e3" w:space="0" w:sz="0" w:val="none"/>
          <w:left w:color="d9d9e3" w:space="0" w:sz="0" w:val="none"/>
          <w:bottom w:color="d9d9e3" w:space="0" w:sz="0" w:val="none"/>
          <w:right w:color="d9d9e3" w:space="0" w:sz="0" w:val="none"/>
          <w:between w:color="d9d9e3" w:space="0" w:sz="0" w:val="none"/>
        </w:pBdr>
        <w:spacing w:line="240" w:lineRule="auto"/>
        <w:ind w:left="72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22">
      <w:pPr>
        <w:pBdr>
          <w:top w:color="d9d9e3" w:space="0" w:sz="0" w:val="none"/>
          <w:left w:color="d9d9e3" w:space="0" w:sz="0" w:val="none"/>
          <w:bottom w:color="d9d9e3" w:space="0" w:sz="0" w:val="none"/>
          <w:right w:color="d9d9e3" w:space="0" w:sz="0" w:val="none"/>
          <w:between w:color="d9d9e3" w:space="0" w:sz="0" w:val="none"/>
        </w:pBdr>
        <w:spacing w:line="240" w:lineRule="auto"/>
        <w:ind w:left="72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23">
      <w:pPr>
        <w:pBdr>
          <w:top w:color="d9d9e3" w:space="0" w:sz="0" w:val="none"/>
          <w:left w:color="d9d9e3" w:space="0" w:sz="0" w:val="none"/>
          <w:bottom w:color="d9d9e3" w:space="0" w:sz="0" w:val="none"/>
          <w:right w:color="d9d9e3" w:space="0" w:sz="0" w:val="none"/>
          <w:between w:color="d9d9e3" w:space="0" w:sz="0" w:val="none"/>
        </w:pBdr>
        <w:spacing w:line="240" w:lineRule="auto"/>
        <w:ind w:left="72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24">
      <w:pPr>
        <w:pBdr>
          <w:top w:color="d9d9e3" w:space="0" w:sz="0" w:val="none"/>
          <w:left w:color="d9d9e3" w:space="0" w:sz="0" w:val="none"/>
          <w:bottom w:color="d9d9e3" w:space="0" w:sz="0" w:val="none"/>
          <w:right w:color="d9d9e3" w:space="0" w:sz="0" w:val="none"/>
          <w:between w:color="d9d9e3" w:space="0" w:sz="0" w:val="none"/>
        </w:pBdr>
        <w:spacing w:line="240" w:lineRule="auto"/>
        <w:ind w:left="72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25">
      <w:pPr>
        <w:pBdr>
          <w:top w:color="d9d9e3" w:space="0" w:sz="0" w:val="none"/>
          <w:left w:color="d9d9e3" w:space="0" w:sz="0" w:val="none"/>
          <w:bottom w:color="d9d9e3" w:space="0" w:sz="0" w:val="none"/>
          <w:right w:color="d9d9e3" w:space="0" w:sz="0" w:val="none"/>
          <w:between w:color="d9d9e3" w:space="0" w:sz="0" w:val="none"/>
        </w:pBdr>
        <w:spacing w:line="240" w:lineRule="auto"/>
        <w:ind w:left="72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26">
      <w:pPr>
        <w:pBdr>
          <w:top w:color="d9d9e3" w:space="0" w:sz="0" w:val="none"/>
          <w:left w:color="d9d9e3" w:space="0" w:sz="0" w:val="none"/>
          <w:bottom w:color="d9d9e3" w:space="0" w:sz="0" w:val="none"/>
          <w:right w:color="d9d9e3" w:space="0" w:sz="0" w:val="none"/>
          <w:between w:color="d9d9e3" w:space="0" w:sz="0" w:val="none"/>
        </w:pBdr>
        <w:spacing w:line="240" w:lineRule="auto"/>
        <w:ind w:left="72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27">
      <w:pPr>
        <w:numPr>
          <w:ilvl w:val="0"/>
          <w:numId w:val="1"/>
        </w:numPr>
        <w:pBdr>
          <w:top w:color="d9d9e3" w:space="0" w:sz="0" w:val="none"/>
          <w:left w:color="d9d9e3" w:space="0" w:sz="0" w:val="none"/>
          <w:bottom w:color="d9d9e3" w:space="0" w:sz="0" w:val="none"/>
          <w:right w:color="d9d9e3" w:space="0" w:sz="0" w:val="none"/>
          <w:between w:color="d9d9e3" w:space="0" w:sz="0" w:val="none"/>
        </w:pBdr>
        <w:spacing w:line="240" w:lineRule="auto"/>
        <w:ind w:left="720" w:hanging="360"/>
        <w:rPr>
          <w:rFonts w:ascii="Times New Roman" w:cs="Times New Roman" w:eastAsia="Times New Roman" w:hAnsi="Times New Roman"/>
          <w:b w:val="1"/>
          <w:sz w:val="24"/>
          <w:szCs w:val="24"/>
          <w:u w:val="none"/>
        </w:rPr>
      </w:pPr>
      <w:r w:rsidDel="00000000" w:rsidR="00000000" w:rsidRPr="00000000">
        <w:rPr>
          <w:rFonts w:ascii="Times New Roman" w:cs="Times New Roman" w:eastAsia="Times New Roman" w:hAnsi="Times New Roman"/>
          <w:b w:val="1"/>
          <w:sz w:val="24"/>
          <w:szCs w:val="24"/>
          <w:rtl w:val="0"/>
        </w:rPr>
        <w:t xml:space="preserve">What are 2 disadvantages of delegating power to independent regulatory agencies?</w:t>
      </w:r>
      <w:r w:rsidDel="00000000" w:rsidR="00000000" w:rsidRPr="00000000">
        <w:rPr>
          <w:rtl w:val="0"/>
        </w:rPr>
      </w:r>
      <w:r w:rsidDel="00000000" w:rsidR="00000000" w:rsidRPr="00000000">
        <w:drawing>
          <wp:anchor allowOverlap="1" behindDoc="0" distB="19050" distT="19050" distL="19050" distR="19050" hidden="0" layoutInCell="1" locked="0" relativeHeight="0" simplePos="0">
            <wp:simplePos x="0" y="0"/>
            <wp:positionH relativeFrom="column">
              <wp:posOffset>5095875</wp:posOffset>
            </wp:positionH>
            <wp:positionV relativeFrom="paragraph">
              <wp:posOffset>1316368</wp:posOffset>
            </wp:positionV>
            <wp:extent cx="985915" cy="391838"/>
            <wp:effectExtent b="0" l="0" r="0" t="0"/>
            <wp:wrapSquare wrapText="bothSides" distB="19050" distT="19050" distL="19050" distR="19050"/>
            <wp:docPr id="3" name="image2.png"/>
            <a:graphic>
              <a:graphicData uri="http://schemas.openxmlformats.org/drawingml/2006/picture">
                <pic:pic>
                  <pic:nvPicPr>
                    <pic:cNvPr id="0" name="image2.png"/>
                    <pic:cNvPicPr preferRelativeResize="0"/>
                  </pic:nvPicPr>
                  <pic:blipFill>
                    <a:blip r:embed="rId10"/>
                    <a:srcRect b="0" l="0" r="0" t="0"/>
                    <a:stretch>
                      <a:fillRect/>
                    </a:stretch>
                  </pic:blipFill>
                  <pic:spPr>
                    <a:xfrm>
                      <a:off x="0" y="0"/>
                      <a:ext cx="985915" cy="391838"/>
                    </a:xfrm>
                    <a:prstGeom prst="rect"/>
                    <a:ln/>
                  </pic:spPr>
                </pic:pic>
              </a:graphicData>
            </a:graphic>
          </wp:anchor>
        </w:drawing>
      </w:r>
    </w:p>
    <w:sectPr>
      <w:headerReference r:id="rId11" w:type="default"/>
      <w:headerReference r:id="rId12" w:type="first"/>
      <w:footerReference r:id="rId13" w:type="default"/>
      <w:footerReference r:id="rId14" w:type="first"/>
      <w:pgSz w:h="15840" w:w="12240" w:orient="portrait"/>
      <w:pgMar w:bottom="1440" w:top="1440" w:left="1440" w:right="1440"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9">
    <w:pPr>
      <w:pBdr>
        <w:top w:color="d9d9e3" w:space="0" w:sz="0" w:val="none"/>
        <w:left w:color="d9d9e3" w:space="0" w:sz="0" w:val="none"/>
        <w:bottom w:color="d9d9e3" w:space="0" w:sz="0" w:val="none"/>
        <w:right w:color="d9d9e3" w:space="0" w:sz="0" w:val="none"/>
        <w:between w:color="d9d9e3" w:space="0" w:sz="0" w:val="none"/>
      </w:pBdr>
      <w:spacing w:line="240" w:lineRule="auto"/>
      <w:rPr>
        <w:rFonts w:ascii="Times New Roman" w:cs="Times New Roman" w:eastAsia="Times New Roman" w:hAnsi="Times New Roman"/>
        <w:sz w:val="16"/>
        <w:szCs w:val="16"/>
      </w:rPr>
    </w:pPr>
    <w:r w:rsidDel="00000000" w:rsidR="00000000" w:rsidRPr="00000000">
      <w:rPr>
        <w:rFonts w:ascii="Times New Roman" w:cs="Times New Roman" w:eastAsia="Times New Roman" w:hAnsi="Times New Roman"/>
        <w:sz w:val="16"/>
        <w:szCs w:val="16"/>
        <w:rtl w:val="0"/>
      </w:rPr>
      <w:t xml:space="preserve">Image Credits: </w:t>
    </w:r>
  </w:p>
  <w:p w:rsidR="00000000" w:rsidDel="00000000" w:rsidP="00000000" w:rsidRDefault="00000000" w:rsidRPr="00000000" w14:paraId="0000002A">
    <w:pPr>
      <w:pBdr>
        <w:top w:color="d9d9e3" w:space="0" w:sz="0" w:val="none"/>
        <w:left w:color="d9d9e3" w:space="0" w:sz="0" w:val="none"/>
        <w:bottom w:color="d9d9e3" w:space="0" w:sz="0" w:val="none"/>
        <w:right w:color="d9d9e3" w:space="0" w:sz="0" w:val="none"/>
        <w:between w:color="d9d9e3" w:space="0" w:sz="0" w:val="none"/>
      </w:pBdr>
      <w:spacing w:line="240" w:lineRule="auto"/>
      <w:rPr>
        <w:rFonts w:ascii="Times New Roman" w:cs="Times New Roman" w:eastAsia="Times New Roman" w:hAnsi="Times New Roman"/>
        <w:sz w:val="16"/>
        <w:szCs w:val="16"/>
      </w:rPr>
    </w:pPr>
    <w:r w:rsidDel="00000000" w:rsidR="00000000" w:rsidRPr="00000000">
      <w:rPr>
        <w:rFonts w:ascii="Times New Roman" w:cs="Times New Roman" w:eastAsia="Times New Roman" w:hAnsi="Times New Roman"/>
        <w:sz w:val="16"/>
        <w:szCs w:val="16"/>
        <w:rtl w:val="0"/>
      </w:rPr>
      <w:t xml:space="preserve">“</w:t>
    </w:r>
    <w:hyperlink r:id="rId1">
      <w:r w:rsidDel="00000000" w:rsidR="00000000" w:rsidRPr="00000000">
        <w:rPr>
          <w:rFonts w:ascii="Times New Roman" w:cs="Times New Roman" w:eastAsia="Times New Roman" w:hAnsi="Times New Roman"/>
          <w:color w:val="1155cc"/>
          <w:sz w:val="16"/>
          <w:szCs w:val="16"/>
          <w:u w:val="single"/>
          <w:rtl w:val="0"/>
        </w:rPr>
        <w:t xml:space="preserve">Seal of the United States Federal Reserve Board</w:t>
      </w:r>
    </w:hyperlink>
    <w:r w:rsidDel="00000000" w:rsidR="00000000" w:rsidRPr="00000000">
      <w:rPr>
        <w:rFonts w:ascii="Times New Roman" w:cs="Times New Roman" w:eastAsia="Times New Roman" w:hAnsi="Times New Roman"/>
        <w:sz w:val="16"/>
        <w:szCs w:val="16"/>
        <w:rtl w:val="0"/>
      </w:rPr>
      <w:t xml:space="preserve">” from the US Government is under the Public Domain</w:t>
    </w:r>
  </w:p>
  <w:p w:rsidR="00000000" w:rsidDel="00000000" w:rsidP="00000000" w:rsidRDefault="00000000" w:rsidRPr="00000000" w14:paraId="0000002B">
    <w:pPr>
      <w:pBdr>
        <w:top w:color="d9d9e3" w:space="0" w:sz="0" w:val="none"/>
        <w:left w:color="d9d9e3" w:space="0" w:sz="0" w:val="none"/>
        <w:bottom w:color="d9d9e3" w:space="0" w:sz="0" w:val="none"/>
        <w:right w:color="d9d9e3" w:space="0" w:sz="0" w:val="none"/>
        <w:between w:color="d9d9e3" w:space="0" w:sz="0" w:val="none"/>
      </w:pBdr>
      <w:spacing w:line="240" w:lineRule="auto"/>
      <w:rPr>
        <w:rFonts w:ascii="Times New Roman" w:cs="Times New Roman" w:eastAsia="Times New Roman" w:hAnsi="Times New Roman"/>
        <w:sz w:val="16"/>
        <w:szCs w:val="16"/>
      </w:rPr>
    </w:pPr>
    <w:r w:rsidDel="00000000" w:rsidR="00000000" w:rsidRPr="00000000">
      <w:rPr>
        <w:rFonts w:ascii="Times New Roman" w:cs="Times New Roman" w:eastAsia="Times New Roman" w:hAnsi="Times New Roman"/>
        <w:sz w:val="16"/>
        <w:szCs w:val="16"/>
        <w:rtl w:val="0"/>
      </w:rPr>
      <w:t xml:space="preserve">“</w:t>
    </w:r>
    <w:hyperlink r:id="rId2">
      <w:r w:rsidDel="00000000" w:rsidR="00000000" w:rsidRPr="00000000">
        <w:rPr>
          <w:rFonts w:ascii="Times New Roman" w:cs="Times New Roman" w:eastAsia="Times New Roman" w:hAnsi="Times New Roman"/>
          <w:color w:val="1155cc"/>
          <w:sz w:val="16"/>
          <w:szCs w:val="16"/>
          <w:u w:val="single"/>
          <w:rtl w:val="0"/>
        </w:rPr>
        <w:t xml:space="preserve">Seal of the United States Federal Trade Commission</w:t>
      </w:r>
    </w:hyperlink>
    <w:r w:rsidDel="00000000" w:rsidR="00000000" w:rsidRPr="00000000">
      <w:rPr>
        <w:rFonts w:ascii="Times New Roman" w:cs="Times New Roman" w:eastAsia="Times New Roman" w:hAnsi="Times New Roman"/>
        <w:sz w:val="16"/>
        <w:szCs w:val="16"/>
        <w:rtl w:val="0"/>
      </w:rPr>
      <w:t xml:space="preserve">” from the US Government is under the Public Domain</w:t>
    </w:r>
  </w:p>
  <w:p w:rsidR="00000000" w:rsidDel="00000000" w:rsidP="00000000" w:rsidRDefault="00000000" w:rsidRPr="00000000" w14:paraId="0000002C">
    <w:pPr>
      <w:pBdr>
        <w:top w:color="d9d9e3" w:space="0" w:sz="0" w:val="none"/>
        <w:left w:color="d9d9e3" w:space="0" w:sz="0" w:val="none"/>
        <w:bottom w:color="d9d9e3" w:space="0" w:sz="0" w:val="none"/>
        <w:right w:color="d9d9e3" w:space="0" w:sz="0" w:val="none"/>
        <w:between w:color="d9d9e3" w:space="0" w:sz="0" w:val="none"/>
      </w:pBdr>
      <w:spacing w:line="240" w:lineRule="auto"/>
      <w:rPr>
        <w:rFonts w:ascii="Times New Roman" w:cs="Times New Roman" w:eastAsia="Times New Roman" w:hAnsi="Times New Roman"/>
        <w:sz w:val="16"/>
        <w:szCs w:val="16"/>
      </w:rPr>
    </w:pPr>
    <w:r w:rsidDel="00000000" w:rsidR="00000000" w:rsidRPr="00000000">
      <w:rPr>
        <w:rFonts w:ascii="Times New Roman" w:cs="Times New Roman" w:eastAsia="Times New Roman" w:hAnsi="Times New Roman"/>
        <w:sz w:val="16"/>
        <w:szCs w:val="16"/>
        <w:rtl w:val="0"/>
      </w:rPr>
      <w:t xml:space="preserve">“</w:t>
    </w:r>
    <w:hyperlink r:id="rId3">
      <w:r w:rsidDel="00000000" w:rsidR="00000000" w:rsidRPr="00000000">
        <w:rPr>
          <w:rFonts w:ascii="Times New Roman" w:cs="Times New Roman" w:eastAsia="Times New Roman" w:hAnsi="Times New Roman"/>
          <w:color w:val="1155cc"/>
          <w:sz w:val="16"/>
          <w:szCs w:val="16"/>
          <w:u w:val="single"/>
          <w:rtl w:val="0"/>
        </w:rPr>
        <w:t xml:space="preserve">Seal of the National Labor Relations Board</w:t>
      </w:r>
    </w:hyperlink>
    <w:r w:rsidDel="00000000" w:rsidR="00000000" w:rsidRPr="00000000">
      <w:rPr>
        <w:rFonts w:ascii="Times New Roman" w:cs="Times New Roman" w:eastAsia="Times New Roman" w:hAnsi="Times New Roman"/>
        <w:sz w:val="16"/>
        <w:szCs w:val="16"/>
        <w:rtl w:val="0"/>
      </w:rPr>
      <w:t xml:space="preserve">” from the National Labor Relations Board is under the Public Domain</w:t>
    </w:r>
  </w:p>
  <w:p w:rsidR="00000000" w:rsidDel="00000000" w:rsidP="00000000" w:rsidRDefault="00000000" w:rsidRPr="00000000" w14:paraId="0000002D">
    <w:pPr>
      <w:pBdr>
        <w:top w:color="d9d9e3" w:space="0" w:sz="0" w:val="none"/>
        <w:left w:color="d9d9e3" w:space="0" w:sz="0" w:val="none"/>
        <w:bottom w:color="d9d9e3" w:space="0" w:sz="0" w:val="none"/>
        <w:right w:color="d9d9e3" w:space="0" w:sz="0" w:val="none"/>
        <w:between w:color="d9d9e3" w:space="0" w:sz="0" w:val="none"/>
      </w:pBdr>
      <w:spacing w:line="240" w:lineRule="auto"/>
      <w:rPr>
        <w:rFonts w:ascii="Times New Roman" w:cs="Times New Roman" w:eastAsia="Times New Roman" w:hAnsi="Times New Roman"/>
        <w:sz w:val="16"/>
        <w:szCs w:val="16"/>
      </w:rPr>
    </w:pPr>
    <w:r w:rsidDel="00000000" w:rsidR="00000000" w:rsidRPr="00000000">
      <w:rPr>
        <w:rFonts w:ascii="Times New Roman" w:cs="Times New Roman" w:eastAsia="Times New Roman" w:hAnsi="Times New Roman"/>
        <w:sz w:val="16"/>
        <w:szCs w:val="16"/>
        <w:rtl w:val="0"/>
      </w:rPr>
      <w:t xml:space="preserve">“</w:t>
    </w:r>
    <w:hyperlink r:id="rId4">
      <w:r w:rsidDel="00000000" w:rsidR="00000000" w:rsidRPr="00000000">
        <w:rPr>
          <w:rFonts w:ascii="Times New Roman" w:cs="Times New Roman" w:eastAsia="Times New Roman" w:hAnsi="Times New Roman"/>
          <w:color w:val="1155cc"/>
          <w:sz w:val="16"/>
          <w:szCs w:val="16"/>
          <w:u w:val="single"/>
          <w:rtl w:val="0"/>
        </w:rPr>
        <w:t xml:space="preserve">US-InterstateCommerceCommission-Seal</w:t>
      </w:r>
    </w:hyperlink>
    <w:r w:rsidDel="00000000" w:rsidR="00000000" w:rsidRPr="00000000">
      <w:rPr>
        <w:rFonts w:ascii="Times New Roman" w:cs="Times New Roman" w:eastAsia="Times New Roman" w:hAnsi="Times New Roman"/>
        <w:sz w:val="16"/>
        <w:szCs w:val="16"/>
        <w:rtl w:val="0"/>
      </w:rPr>
      <w:t xml:space="preserve">” from the US Government is under the Public Domain</w:t>
    </w:r>
  </w:p>
  <w:p w:rsidR="00000000" w:rsidDel="00000000" w:rsidP="00000000" w:rsidRDefault="00000000" w:rsidRPr="00000000" w14:paraId="0000002E">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1">
    <w:pPr>
      <w:jc w:val="right"/>
      <w:rPr/>
    </w:pPr>
    <w:r w:rsidDel="00000000" w:rsidR="00000000" w:rsidRPr="00000000">
      <w:rPr/>
      <w:drawing>
        <wp:inline distB="19050" distT="19050" distL="19050" distR="19050">
          <wp:extent cx="985915" cy="391838"/>
          <wp:effectExtent b="0" l="0" r="0" t="0"/>
          <wp:docPr id="5"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985915" cy="391838"/>
                  </a:xfrm>
                  <a:prstGeom prst="rect"/>
                  <a:ln/>
                </pic:spPr>
              </pic:pic>
            </a:graphicData>
          </a:graphic>
        </wp:inline>
      </w:drawing>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8">
    <w:pPr>
      <w:jc w:val="center"/>
      <w:rPr>
        <w:rFonts w:ascii="Times New Roman" w:cs="Times New Roman" w:eastAsia="Times New Roman" w:hAnsi="Times New Roman"/>
        <w:b w:val="1"/>
        <w:sz w:val="28"/>
        <w:szCs w:val="28"/>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F">
    <w:pPr>
      <w:jc w:val="cente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Independent Regulatory Agencies</w:t>
    </w:r>
  </w:p>
  <w:p w:rsidR="00000000" w:rsidDel="00000000" w:rsidP="00000000" w:rsidRDefault="00000000" w:rsidRPr="00000000" w14:paraId="00000030">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header" Target="header1.xml"/><Relationship Id="rId10" Type="http://schemas.openxmlformats.org/officeDocument/2006/relationships/image" Target="media/image2.png"/><Relationship Id="rId13" Type="http://schemas.openxmlformats.org/officeDocument/2006/relationships/footer" Target="footer1.xml"/><Relationship Id="rId12" Type="http://schemas.openxmlformats.org/officeDocument/2006/relationships/header" Target="header2.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5.png"/><Relationship Id="rId14" Type="http://schemas.openxmlformats.org/officeDocument/2006/relationships/footer" Target="footer2.xm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image" Target="media/image4.png"/><Relationship Id="rId8" Type="http://schemas.openxmlformats.org/officeDocument/2006/relationships/image" Target="media/image3.png"/></Relationships>
</file>

<file path=word/_rels/footer1.xml.rels><?xml version="1.0" encoding="UTF-8" standalone="yes"?><Relationships xmlns="http://schemas.openxmlformats.org/package/2006/relationships"><Relationship Id="rId1" Type="http://schemas.openxmlformats.org/officeDocument/2006/relationships/hyperlink" Target="https://upload.wikimedia.org/wikipedia/commons/thumb/7/73/Seal_of_the_United_States_Federal_Reserve_Board.svg/1200px-Seal_of_the_United_States_Federal_Reserve_Board.svg.png?20171016221852" TargetMode="External"/><Relationship Id="rId2" Type="http://schemas.openxmlformats.org/officeDocument/2006/relationships/hyperlink" Target="https://upload.wikimedia.org/wikipedia/commons/thumb/6/69/Seal_of_the_United_States_Federal_Trade_Commission.svg/1200px-Seal_of_the_United_States_Federal_Trade_Commission.svg.png?20070909202234" TargetMode="External"/><Relationship Id="rId3" Type="http://schemas.openxmlformats.org/officeDocument/2006/relationships/hyperlink" Target="https://upload.wikimedia.org/wikipedia/commons/thumb/7/71/Seal_of_the_National_Labor_Relations_Board.svg/600px-Seal_of_the_National_Labor_Relations_Board.svg.png?20210529013814" TargetMode="External"/><Relationship Id="rId4" Type="http://schemas.openxmlformats.org/officeDocument/2006/relationships/hyperlink" Target="https://upload.wikimedia.org/wikipedia/commons/thumb/d/d4/US-InterstateCommerceCommission-Seal.png/1200px-US-InterstateCommerceCommission-Seal.png?20110824031420"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