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Find another student that knows the answer to one of the clues below and have them fill in the answer. Students will place their answer and initial in one box.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FIND SOMEONE WHO KNOWS…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role of the judicial branch is outlined in which Article of the U.S. Constitution?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Article III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long is the tenure of U.S. Supreme Court Justices?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Life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court that would have original jurisdiction.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Trial Court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U.S. District Court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 County Court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 Circuit Court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many justices serve on the FL Supreme Court?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Judicial review came from which landmark court case?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Marbury v. Madison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is a federal judge chosen for office?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Appointed by president; confirmed by Senate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court that has elected judges.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 County Court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 Circuit Court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it called when a judge or justice must remain neutral in a case?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Impartial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Article VI establishes that the federal constitution and federal law have precedence over state laws and even state constitutions. This is known as: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Supremacy Clause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it called when a judge or justice has no political affiliation?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Nonpartisan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the highest court in Florida.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Florida Supreme Court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one court that hears appeals from lower courts?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Appellate Court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U.S. Courts of Appeal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U.S. Supreme Court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Florida Supreme Court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Florida District Courts of Appeal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doctrine emphasizes the importance of state law and the independence of state courts from federal courts in matters involving state law.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Erie Doctrine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doctrine states that inferior federal courts cannot act as appellate courts for state court decisions.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Rooker-Feldman Doctrine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landmark Supreme Court Case.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16" w:lineRule="auto"/>
              <w:ind w:left="0" w:firstLine="0"/>
              <w:rPr>
                <w:rFonts w:ascii="Times New Roman" w:cs="Times New Roman" w:eastAsia="Times New Roman" w:hAnsi="Times New Roman"/>
                <w:color w:val="ff0000"/>
                <w:sz w:val="8"/>
                <w:szCs w:val="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ff0000"/>
                <w:sz w:val="20"/>
                <w:szCs w:val="20"/>
                <w:rtl w:val="0"/>
              </w:rPr>
              <w:t xml:space="preserve">McCulloch v. Maryland; Dred Scott v. Sandford; Plessy v. Ferguson; Brown v. Board of Education; Gideon v. Wainwright; Miranda v. Arizona; Korematsu v. United States; Mapp v. Ohio; In re Gault; United States v. Nixon; Regents of the University of California v. Bakke; Hazelwood v. Kuhlmeier; District of Columbia v. Heller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consideration a judge may have when determining a ruling.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Federal and state law, U.S. Constitution, FL Constitution, past cases, </w:t>
            </w:r>
          </w:p>
        </w:tc>
      </w:tr>
    </w:tbl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6181725</wp:posOffset>
          </wp:positionH>
          <wp:positionV relativeFrom="paragraph">
            <wp:posOffset>133350</wp:posOffset>
          </wp:positionV>
          <wp:extent cx="876300" cy="34236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6300" cy="3423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ANSWERS: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Judicial Branch Review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