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="240" w:lineRule="auto"/>
        <w:rPr>
          <w:rFonts w:ascii="Times New Roman" w:cs="Times New Roman" w:eastAsia="Times New Roman" w:hAnsi="Times New Roman"/>
          <w:b w:val="1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As you read the case studies, fill out the information below.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70"/>
        <w:gridCol w:w="3510"/>
        <w:gridCol w:w="3480"/>
        <w:tblGridChange w:id="0">
          <w:tblGrid>
            <w:gridCol w:w="2370"/>
            <w:gridCol w:w="3510"/>
            <w:gridCol w:w="34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 vs State Dispute: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 vs National Dispute: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dispute?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Over water rights between the states of Florida and Georgia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Over the regulation of guns near schools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were the parties involved in the dispute?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Florida and Georgia, to a lesser extent Alabama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Alfonzo Lopez, the United States, and the state of Texas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outcome?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Supreme Court ruled that Florida did not prove that Georgia was causing harm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Supreme Court ruled that Congress had overstepped its authority in attempting to regulate guns near schools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Evidence from the U.S. Constitution referenced in the dispute: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Article III Section II (jurisdiction of the federal courts)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Article I, Section 8, Clause 3 (the Commerce Clause); the Tenth Amendment </w:t>
            </w:r>
          </w:p>
        </w:tc>
      </w:tr>
    </w:tbl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a federal system, how are disputes resolved among states and between states and the national government resolved? </w:t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Litigation in federal court is the most common way issues are resolved among states and between states and the national government.</w:t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5562600</wp:posOffset>
          </wp:positionH>
          <wp:positionV relativeFrom="paragraph">
            <wp:posOffset>-28574</wp:posOffset>
          </wp:positionV>
          <wp:extent cx="795338" cy="313315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5338" cy="31331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ANSWERS: 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Case Studies Organizer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