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Landmark Supreme Court Cases Graphic Organizer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945"/>
        <w:gridCol w:w="2985"/>
        <w:gridCol w:w="1770"/>
        <w:gridCol w:w="4185"/>
        <w:gridCol w:w="2640"/>
        <w:tblGridChange w:id="0">
          <w:tblGrid>
            <w:gridCol w:w="1695"/>
            <w:gridCol w:w="945"/>
            <w:gridCol w:w="2985"/>
            <w:gridCol w:w="1770"/>
            <w:gridCol w:w="4185"/>
            <w:gridCol w:w="264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Case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Essential Question of Case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Issue(s)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- Decision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Related Constitutional Amendment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(if applicable)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Marbury v. Madison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McCulloch v. Maryland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Dred Scott v. Sandford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Plessy v. Ferguson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Brown v. Board of Education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Gideon v. Wainwright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Miranda v. Arizona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Korematsu v. United States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Mapp v. Ohio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In re Gault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United States v. Nixon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Regents of the University of California v. Bakke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Hazelwood v. Kuhlmeier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District of Columbia v. Heller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widowControl w:val="0"/>
        <w:spacing w:after="120"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7343775</wp:posOffset>
          </wp:positionH>
          <wp:positionV relativeFrom="paragraph">
            <wp:posOffset>-182258</wp:posOffset>
          </wp:positionV>
          <wp:extent cx="1172153" cy="462409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