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LANDMARK U.S. SUPREME COURT DECISIONS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SS.912.CG.3.11 </w:t>
            </w:r>
            <w:r w:rsidDel="00000000" w:rsidR="00000000" w:rsidRPr="00000000">
              <w:rPr>
                <w:rFonts w:ascii="Times New Roman" w:cs="Times New Roman" w:eastAsia="Times New Roman" w:hAnsi="Times New Roman"/>
                <w:sz w:val="24"/>
                <w:szCs w:val="24"/>
                <w:rtl w:val="0"/>
              </w:rPr>
              <w:t xml:space="preserve">Evaluate how landmark Supreme Court decisions affect law, liberty and the interpretation of the U.S. Constitution.</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SS.912.C.3.10</w:t>
            </w:r>
          </w:p>
          <w:p w:rsidR="00000000" w:rsidDel="00000000" w:rsidP="00000000" w:rsidRDefault="00000000" w:rsidRPr="00000000" w14:paraId="00000014">
            <w:pPr>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“Evaluate the </w:t>
            </w:r>
            <w:r w:rsidDel="00000000" w:rsidR="00000000" w:rsidRPr="00000000">
              <w:rPr>
                <w:rFonts w:ascii="Times New Roman" w:cs="Times New Roman" w:eastAsia="Times New Roman" w:hAnsi="Times New Roman"/>
                <w:strike w:val="1"/>
                <w:sz w:val="24"/>
                <w:szCs w:val="24"/>
                <w:rtl w:val="0"/>
              </w:rPr>
              <w:t xml:space="preserve">significance and outcomes</w:t>
            </w:r>
            <w:r w:rsidDel="00000000" w:rsidR="00000000" w:rsidRPr="00000000">
              <w:rPr>
                <w:rFonts w:ascii="Times New Roman" w:cs="Times New Roman" w:eastAsia="Times New Roman" w:hAnsi="Times New Roman"/>
                <w:sz w:val="24"/>
                <w:szCs w:val="24"/>
                <w:rtl w:val="0"/>
              </w:rPr>
              <w:t xml:space="preserve"> of landmark Supreme Court </w:t>
            </w:r>
            <w:r w:rsidDel="00000000" w:rsidR="00000000" w:rsidRPr="00000000">
              <w:rPr>
                <w:rFonts w:ascii="Times New Roman" w:cs="Times New Roman" w:eastAsia="Times New Roman" w:hAnsi="Times New Roman"/>
                <w:strike w:val="1"/>
                <w:sz w:val="24"/>
                <w:szCs w:val="24"/>
                <w:rtl w:val="0"/>
              </w:rPr>
              <w:t xml:space="preserve">cases</w:t>
            </w:r>
            <w:r w:rsidDel="00000000" w:rsidR="00000000" w:rsidRPr="00000000">
              <w:rPr>
                <w:rFonts w:ascii="Times New Roman" w:cs="Times New Roman" w:eastAsia="Times New Roman" w:hAnsi="Times New Roman"/>
                <w:sz w:val="24"/>
                <w:szCs w:val="24"/>
                <w:rtl w:val="0"/>
              </w:rPr>
              <w:t xml:space="preserve">.” to “Evaluate how landmark Supreme Court </w:t>
            </w:r>
            <w:r w:rsidDel="00000000" w:rsidR="00000000" w:rsidRPr="00000000">
              <w:rPr>
                <w:rFonts w:ascii="Times New Roman" w:cs="Times New Roman" w:eastAsia="Times New Roman" w:hAnsi="Times New Roman"/>
                <w:sz w:val="24"/>
                <w:szCs w:val="24"/>
                <w:u w:val="single"/>
                <w:rtl w:val="0"/>
              </w:rPr>
              <w:t xml:space="preserve">decisions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affect law, liberty and the interpretation of the U.S. Constitution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5">
            <w:pPr>
              <w:numPr>
                <w:ilvl w:val="1"/>
                <w:numId w:val="7"/>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Removal of “</w:t>
            </w:r>
            <w:r w:rsidDel="00000000" w:rsidR="00000000" w:rsidRPr="00000000">
              <w:rPr>
                <w:rFonts w:ascii="Times New Roman" w:cs="Times New Roman" w:eastAsia="Times New Roman" w:hAnsi="Times New Roman"/>
                <w:i w:val="1"/>
                <w:sz w:val="24"/>
                <w:szCs w:val="24"/>
                <w:rtl w:val="0"/>
              </w:rPr>
              <w:t xml:space="preserve">Roe v. Wade”</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i w:val="1"/>
                <w:sz w:val="24"/>
                <w:szCs w:val="24"/>
                <w:rtl w:val="0"/>
              </w:rPr>
              <w:t xml:space="preserve">Texas v. Johnson”</w:t>
            </w:r>
          </w:p>
          <w:p w:rsidR="00000000" w:rsidDel="00000000" w:rsidP="00000000" w:rsidRDefault="00000000" w:rsidRPr="00000000" w14:paraId="00000016">
            <w:pPr>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w:t>
            </w:r>
            <w:r w:rsidDel="00000000" w:rsidR="00000000" w:rsidRPr="00000000">
              <w:rPr>
                <w:rFonts w:ascii="Times New Roman" w:cs="Times New Roman" w:eastAsia="Times New Roman" w:hAnsi="Times New Roman"/>
                <w:i w:val="1"/>
                <w:sz w:val="24"/>
                <w:szCs w:val="24"/>
                <w:rtl w:val="0"/>
              </w:rPr>
              <w:t xml:space="preserve">Dred Scott v. Sanford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Korematsu v. United States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In re Gault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Regents of the University of California v. Bakke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7">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8">
            <w:pPr>
              <w:widowControl w:val="0"/>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changes</w:t>
            </w:r>
          </w:p>
          <w:p w:rsidR="00000000" w:rsidDel="00000000" w:rsidP="00000000" w:rsidRDefault="00000000" w:rsidRPr="00000000" w14:paraId="00000019">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A">
            <w:pPr>
              <w:widowControl w:val="0"/>
              <w:numPr>
                <w:ilvl w:val="1"/>
                <w:numId w:val="7"/>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B">
      <w:pPr>
        <w:pStyle w:val="Heading2"/>
        <w:spacing w:line="240" w:lineRule="auto"/>
        <w:jc w:val="left"/>
        <w:rPr>
          <w:color w:val="000000"/>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1xewpeii579v" w:id="0"/>
      <w:bookmarkEnd w:id="0"/>
      <w:r w:rsidDel="00000000" w:rsidR="00000000" w:rsidRPr="00000000">
        <w:rPr>
          <w:rtl w:val="0"/>
        </w:rPr>
      </w:r>
    </w:p>
    <w:p w:rsidR="00000000" w:rsidDel="00000000" w:rsidP="00000000" w:rsidRDefault="00000000" w:rsidRPr="00000000" w14:paraId="0000001C">
      <w:pPr>
        <w:pStyle w:val="Heading2"/>
        <w:spacing w:line="240" w:lineRule="auto"/>
        <w:jc w:val="left"/>
        <w:rPr>
          <w:color w:val="000000"/>
        </w:rPr>
        <w:sectPr>
          <w:type w:val="nextPage"/>
          <w:pgSz w:h="15840" w:w="12240" w:orient="portrait"/>
          <w:pgMar w:bottom="1440" w:top="1440" w:left="1440" w:right="1440" w:header="720" w:footer="720"/>
        </w:sectPr>
      </w:pPr>
      <w:bookmarkStart w:colFirst="0" w:colLast="0" w:name="_uxiam5e5clqo" w:id="1"/>
      <w:bookmarkEnd w:id="1"/>
      <w:r w:rsidDel="00000000" w:rsidR="00000000" w:rsidRPr="00000000">
        <w:rPr>
          <w:rtl w:val="0"/>
        </w:rPr>
      </w:r>
    </w:p>
    <w:p w:rsidR="00000000" w:rsidDel="00000000" w:rsidP="00000000" w:rsidRDefault="00000000" w:rsidRPr="00000000" w14:paraId="0000001D">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2"/>
      <w:bookmarkEnd w:id="2"/>
      <w:r w:rsidDel="00000000" w:rsidR="00000000" w:rsidRPr="00000000">
        <w:rPr>
          <w:color w:val="000000"/>
          <w:rtl w:val="0"/>
        </w:rPr>
        <w:t xml:space="preserve">E</w:t>
      </w:r>
      <w:r w:rsidDel="00000000" w:rsidR="00000000" w:rsidRPr="00000000">
        <w:rPr>
          <w:rFonts w:ascii="Times New Roman" w:cs="Times New Roman" w:eastAsia="Times New Roman" w:hAnsi="Times New Roman"/>
          <w:b w:val="1"/>
          <w:color w:val="000000"/>
          <w:sz w:val="28"/>
          <w:szCs w:val="28"/>
          <w:rtl w:val="0"/>
        </w:rPr>
        <w:t xml:space="preserve">ssential Teacher Content Background Information</w:t>
      </w:r>
    </w:p>
    <w:p w:rsidR="00000000" w:rsidDel="00000000" w:rsidP="00000000" w:rsidRDefault="00000000" w:rsidRPr="00000000" w14:paraId="0000001E">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rtl w:val="0"/>
        </w:rPr>
      </w:r>
    </w:p>
    <w:tbl>
      <w:tblPr>
        <w:tblStyle w:val="Table3"/>
        <w:tblW w:w="107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85"/>
        <w:tblGridChange w:id="0">
          <w:tblGrid>
            <w:gridCol w:w="10785"/>
          </w:tblGrid>
        </w:tblGridChange>
      </w:tblGrid>
      <w:tr>
        <w:trPr>
          <w:cantSplit w:val="0"/>
          <w:trHeight w:val="1477.0828125000003"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1">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Protecting Individual Rights Through the Bill of Rights</w:t>
            </w:r>
          </w:p>
          <w:p w:rsidR="00000000" w:rsidDel="00000000" w:rsidP="00000000" w:rsidRDefault="00000000" w:rsidRPr="00000000" w14:paraId="00000023">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Review</w:t>
            </w:r>
          </w:p>
          <w:p w:rsidR="00000000" w:rsidDel="00000000" w:rsidP="00000000" w:rsidRDefault="00000000" w:rsidRPr="00000000" w14:paraId="00000024">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Protecting the Rights of Citizens</w:t>
            </w:r>
          </w:p>
        </w:tc>
      </w:tr>
    </w:tbl>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Protecting Individual Rights Through the Bill of Rights</w:t>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is most often used to protect the privileges and immunities of those persons whose behavior is believed to be either unpopular (political expression, religious practice) or criminal (those accused of committing crimes).  This category of protecting unpopular behavior and suspected criminal activity is called “civil liberties”.  The U.S. Supreme Court is responsible for interpreting parts of the Bill of Rights and the 14th Amendment as appropriate to determine whether individual rights have been violated through laws or procedures at the federal, state and local level.</w:t>
      </w:r>
    </w:p>
    <w:p w:rsidR="00000000" w:rsidDel="00000000" w:rsidP="00000000" w:rsidRDefault="00000000" w:rsidRPr="00000000" w14:paraId="00000028">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Bill of Rights, ratified in 1791, is the first ten amendments of the U.S. Constitution.  It was intended to protect the people from the federal government abusing its power, specifically as to the rights of political and religious expression broadly defined, the rights and protections accorded individuals accused and convicted of crimes, private property protection, and the rights of the people as they relate to federal and state laws, and other rights.  </w:t>
      </w:r>
    </w:p>
    <w:p w:rsidR="00000000" w:rsidDel="00000000" w:rsidP="00000000" w:rsidRDefault="00000000" w:rsidRPr="00000000" w14:paraId="0000002A">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first word of the Bill of Rights, “Congress”, speaks to the focus of the Bill of Rights on the federal government.  Under the Bill of Rights, citizens are guaranteed the right to free speech, peaceful assembly, the press, the free exercise of religion, and the right to petition the government for redress of grievances.  Congress may not establish a religion, which is a right related to, though different from, religious exercise.  The Bill of Rights also protects those accused or convicted of a crime in that they are entitled to due process of law, and are protected from incriminating themselves, “cruel and unusual” punishment, unreasonable search and seizure and being tried twice for committing the same crime.  The concept of “due process” also includes the right to legal representation in criminal trials, the right to face one’s accuser, and the right to trial by jury.  The Bill of Rights also protects property rights in that citizens may not be forced to house military personnel during peacetime and only during wartime by an Act of Congress, and that citizens’ property may only be taken with “just compensation”.  </w:t>
      </w:r>
    </w:p>
    <w:p w:rsidR="00000000" w:rsidDel="00000000" w:rsidP="00000000" w:rsidRDefault="00000000" w:rsidRPr="00000000" w14:paraId="0000002C">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Bill of Rights has been subject to extensive interpretation by the U.S. Supreme Court.  Many argue that one of the most notable interpretations occurred when the Court decided, in Gitlow v. New York (1925), that the 14th amendment could serve as a tool for applying the Bill of Rights to state law.  </w:t>
      </w:r>
    </w:p>
    <w:p w:rsidR="00000000" w:rsidDel="00000000" w:rsidP="00000000" w:rsidRDefault="00000000" w:rsidRPr="00000000" w14:paraId="0000002E">
      <w:pPr>
        <w:spacing w:line="240" w:lineRule="auto"/>
        <w:rPr>
          <w:rFonts w:ascii="Times New Roman" w:cs="Times New Roman" w:eastAsia="Times New Roman" w:hAnsi="Times New Roman"/>
          <w:sz w:val="16"/>
          <w:szCs w:val="16"/>
          <w:highlight w:val="yellow"/>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white"/>
          <w:rtl w:val="0"/>
        </w:rPr>
        <w:tab/>
        <w:t xml:space="preserve">The Gitlow case extended the “equal protection” and “due process” clauses of the Bill of Rights to the states on a selective basis.  Because states may not deny U.S. citizens their due process and equal protection rights under the 14th amendment, U.S. citizens are protected when state laws deny them their rights under the federal Bill of Rights.</w:t>
      </w: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1">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where the U.S. Supreme Court interprets state laws according to the protections established in the Bill of Rights is called “selective incorporation”—the court “selects” cases dealing with specific laws that, if found to violate the federal Bill of Rights, are “incorporated” into the Bill of Rights. This holds true even though the Bill of Rights was intended to protect citizens from the federal government and not the state governments.</w:t>
      </w:r>
    </w:p>
    <w:p w:rsidR="00000000" w:rsidDel="00000000" w:rsidP="00000000" w:rsidRDefault="00000000" w:rsidRPr="00000000" w14:paraId="00000032">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Judicial Review</w:t>
      </w:r>
    </w:p>
    <w:p w:rsidR="00000000" w:rsidDel="00000000" w:rsidP="00000000" w:rsidRDefault="00000000" w:rsidRPr="00000000" w14:paraId="0000003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review is the principle that the judicial branch, most often through the U.S. Supreme Court, can find federal and state laws unconstitutional.  The separation of powers and checks and balances systems outlined in the U.S. Constitution do not address the possibility that the president may sign into law an act that Congress has passed even though that law violates the U.S. Constitution. </w:t>
      </w:r>
    </w:p>
    <w:p w:rsidR="00000000" w:rsidDel="00000000" w:rsidP="00000000" w:rsidRDefault="00000000" w:rsidRPr="00000000" w14:paraId="00000034">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Judicial review is the process that, in finding federal and state laws unconstitutional, makes such laws null and void.  The principle of judicial review was first established in 1803 with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a U.S. Supreme Court case that found that parts of the Federal Judiciary Act of 1789 were inconsistent with Article III of the U.S. Constitution.  The spirit of checks and balances, in essence, mandates that the U.S. Supreme Court oversee the work of determining the constitutionality of legislation because the president and Congress (or, in the case of a state, the governor and state legislature) have already participated in the legislative process.  The spirit of checks and balances precludes either chief executives or legislatures from determining whether their own work is consistent with the U.S. Constitution.   Laws made null and void through judicial review are often called “case law”. </w:t>
      </w:r>
      <w:r w:rsidDel="00000000" w:rsidR="00000000" w:rsidRPr="00000000">
        <w:rPr>
          <w:rFonts w:ascii="Times New Roman" w:cs="Times New Roman" w:eastAsia="Times New Roman" w:hAnsi="Times New Roman"/>
          <w:sz w:val="24"/>
          <w:szCs w:val="24"/>
          <w:rtl w:val="0"/>
        </w:rPr>
        <w:t xml:space="preserve">The following cases are considered landmark cases due to their legal and historical impact. </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98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8"/>
        <w:gridCol w:w="1350"/>
        <w:gridCol w:w="3600"/>
        <w:gridCol w:w="1938"/>
        <w:tblGridChange w:id="0">
          <w:tblGrid>
            <w:gridCol w:w="2928"/>
            <w:gridCol w:w="1350"/>
            <w:gridCol w:w="3600"/>
            <w:gridCol w:w="1938"/>
          </w:tblGrid>
        </w:tblGridChange>
      </w:tblGrid>
      <w:tr>
        <w:trPr>
          <w:cantSplit w:val="0"/>
          <w:trHeight w:val="262" w:hRule="atLeast"/>
          <w:tblHeader w:val="0"/>
        </w:trPr>
        <w:tc>
          <w:tcPr/>
          <w:p w:rsidR="00000000" w:rsidDel="00000000" w:rsidP="00000000" w:rsidRDefault="00000000" w:rsidRPr="00000000" w14:paraId="0000003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w:t>
            </w:r>
          </w:p>
        </w:tc>
        <w:tc>
          <w:tcPr/>
          <w:p w:rsidR="00000000" w:rsidDel="00000000" w:rsidP="00000000" w:rsidRDefault="00000000" w:rsidRPr="00000000" w14:paraId="0000003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Provision</w:t>
            </w:r>
          </w:p>
        </w:tc>
        <w:tc>
          <w:tcPr/>
          <w:p w:rsidR="00000000" w:rsidDel="00000000" w:rsidP="00000000" w:rsidRDefault="00000000" w:rsidRPr="00000000" w14:paraId="0000003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r>
      <w:tr>
        <w:trPr>
          <w:cantSplit w:val="0"/>
          <w:trHeight w:val="262" w:hRule="atLeast"/>
          <w:tblHeader w:val="0"/>
        </w:trPr>
        <w:tc>
          <w:tcPr/>
          <w:p w:rsidR="00000000" w:rsidDel="00000000" w:rsidP="00000000" w:rsidRDefault="00000000" w:rsidRPr="00000000" w14:paraId="0000003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McCulloch v. Maryland</w:t>
            </w:r>
          </w:p>
        </w:tc>
        <w:tc>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1819</w:t>
            </w:r>
          </w:p>
        </w:tc>
        <w:tc>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Implied Powers of Congress</w:t>
            </w:r>
          </w:p>
        </w:tc>
        <w:tc>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rHeight w:val="262" w:hRule="atLeast"/>
          <w:tblHeader w:val="0"/>
        </w:trPr>
        <w:tc>
          <w:tcPr/>
          <w:p w:rsidR="00000000" w:rsidDel="00000000" w:rsidP="00000000" w:rsidRDefault="00000000" w:rsidRPr="00000000" w14:paraId="0000003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Dred Scott v. Sandford</w:t>
            </w:r>
          </w:p>
        </w:tc>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1857</w:t>
            </w:r>
          </w:p>
        </w:tc>
        <w:tc>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Property Rights</w:t>
            </w:r>
          </w:p>
        </w:tc>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Fifth</w:t>
            </w:r>
          </w:p>
        </w:tc>
      </w:tr>
      <w:tr>
        <w:trPr>
          <w:cantSplit w:val="0"/>
          <w:trHeight w:val="287" w:hRule="atLeast"/>
          <w:tblHeader w:val="0"/>
        </w:trPr>
        <w:tc>
          <w:tcPr/>
          <w:p w:rsidR="00000000" w:rsidDel="00000000" w:rsidP="00000000" w:rsidRDefault="00000000" w:rsidRPr="00000000" w14:paraId="0000004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Gideon v. Wainwright</w:t>
            </w:r>
          </w:p>
        </w:tc>
        <w:tc>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1963</w:t>
            </w:r>
          </w:p>
        </w:tc>
        <w:tc>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counsel in felony cases</w:t>
            </w:r>
          </w:p>
        </w:tc>
        <w:tc>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rHeight w:val="262" w:hRule="atLeast"/>
          <w:tblHeader w:val="0"/>
        </w:trPr>
        <w:tc>
          <w:tcPr/>
          <w:p w:rsidR="00000000" w:rsidDel="00000000" w:rsidP="00000000" w:rsidRDefault="00000000" w:rsidRPr="00000000" w14:paraId="0000004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Miranda v. Arizona</w:t>
            </w:r>
          </w:p>
        </w:tc>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against self-incrimination</w:t>
            </w:r>
          </w:p>
        </w:tc>
        <w:tc>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Fifth</w:t>
            </w:r>
          </w:p>
        </w:tc>
      </w:tr>
      <w:tr>
        <w:trPr>
          <w:cantSplit w:val="0"/>
          <w:trHeight w:val="262" w:hRule="atLeast"/>
          <w:tblHeader w:val="0"/>
        </w:trPr>
        <w:tc>
          <w:tcPr/>
          <w:p w:rsidR="00000000" w:rsidDel="00000000" w:rsidP="00000000" w:rsidRDefault="00000000" w:rsidRPr="00000000" w14:paraId="0000004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Korematsu v. United States</w:t>
            </w:r>
          </w:p>
        </w:tc>
        <w:tc>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1944</w:t>
            </w:r>
          </w:p>
        </w:tc>
        <w:tc>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process</w:t>
            </w:r>
          </w:p>
        </w:tc>
        <w:tc>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Fifth</w:t>
            </w:r>
          </w:p>
        </w:tc>
      </w:tr>
      <w:tr>
        <w:trPr>
          <w:cantSplit w:val="0"/>
          <w:trHeight w:val="262" w:hRule="atLeast"/>
          <w:tblHeader w:val="0"/>
        </w:trPr>
        <w:tc>
          <w:tcPr/>
          <w:p w:rsidR="00000000" w:rsidDel="00000000" w:rsidP="00000000" w:rsidRDefault="00000000" w:rsidRPr="00000000" w14:paraId="0000004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Mapp v. Ohio</w:t>
            </w:r>
          </w:p>
        </w:tc>
        <w:tc>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1961</w:t>
            </w:r>
          </w:p>
        </w:tc>
        <w:tc>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Privacy</w:t>
            </w:r>
          </w:p>
        </w:tc>
        <w:tc>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Fourth</w:t>
            </w:r>
          </w:p>
        </w:tc>
      </w:tr>
      <w:tr>
        <w:trPr>
          <w:cantSplit w:val="0"/>
          <w:trHeight w:val="282" w:hRule="atLeast"/>
          <w:tblHeader w:val="0"/>
        </w:trPr>
        <w:tc>
          <w:tcPr/>
          <w:p w:rsidR="00000000" w:rsidDel="00000000" w:rsidP="00000000" w:rsidRDefault="00000000" w:rsidRPr="00000000" w14:paraId="0000005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re Gault </w:t>
            </w:r>
          </w:p>
        </w:tc>
        <w:tc>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1967</w:t>
            </w:r>
          </w:p>
        </w:tc>
        <w:tc>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against self-incrimination</w:t>
            </w:r>
          </w:p>
        </w:tc>
        <w:tc>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Fifth</w:t>
            </w:r>
          </w:p>
        </w:tc>
      </w:tr>
      <w:tr>
        <w:trPr>
          <w:cantSplit w:val="0"/>
          <w:trHeight w:val="282" w:hRule="atLeast"/>
          <w:tblHeader w:val="0"/>
        </w:trPr>
        <w:tc>
          <w:tcPr/>
          <w:p w:rsidR="00000000" w:rsidDel="00000000" w:rsidP="00000000" w:rsidRDefault="00000000" w:rsidRPr="00000000" w14:paraId="0000005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United States v. Nixon</w:t>
            </w:r>
          </w:p>
        </w:tc>
        <w:tc>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1974</w:t>
            </w:r>
          </w:p>
        </w:tc>
        <w:tc>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privilege</w:t>
            </w:r>
          </w:p>
        </w:tc>
        <w:tc>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rHeight w:val="350" w:hRule="atLeast"/>
          <w:tblHeader w:val="0"/>
        </w:trPr>
        <w:tc>
          <w:tcPr/>
          <w:p w:rsidR="00000000" w:rsidDel="00000000" w:rsidP="00000000" w:rsidRDefault="00000000" w:rsidRPr="00000000" w14:paraId="0000005B">
            <w:pPr>
              <w:spacing w:after="2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Hazelwood v. Kuhlmeier</w:t>
            </w:r>
          </w:p>
        </w:tc>
        <w:tc>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1988</w:t>
            </w:r>
          </w:p>
        </w:tc>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press/free speech</w:t>
            </w:r>
          </w:p>
        </w:tc>
        <w:tc>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r>
        <w:trPr>
          <w:cantSplit w:val="0"/>
          <w:trHeight w:val="350" w:hRule="atLeast"/>
          <w:tblHeader w:val="0"/>
        </w:trPr>
        <w:tc>
          <w:tcPr/>
          <w:p w:rsidR="00000000" w:rsidDel="00000000" w:rsidP="00000000" w:rsidRDefault="00000000" w:rsidRPr="00000000" w14:paraId="0000005F">
            <w:pPr>
              <w:spacing w:after="2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District of Columbia v. Heller</w:t>
            </w:r>
          </w:p>
        </w:tc>
        <w:tc>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2008</w:t>
            </w:r>
          </w:p>
        </w:tc>
        <w:tc>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bear arms</w:t>
            </w:r>
          </w:p>
        </w:tc>
        <w:tc>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Second</w:t>
            </w:r>
          </w:p>
        </w:tc>
      </w:tr>
    </w:tbl>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Protecting the Rights of Citizens</w:t>
      </w:r>
    </w:p>
    <w:p w:rsidR="00000000" w:rsidDel="00000000" w:rsidP="00000000" w:rsidRDefault="00000000" w:rsidRPr="00000000" w14:paraId="0000006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also takes an active role in protecting the rights of citizens, or “civil rights”.  Civil rights are those rights of citizens that the federal and state governments have an affirmative obligation to protect.  Civil rights are most often understood to include protecting equal protection and due process rights found in the Fourteenth Amendment, which also defines citizenship.  The U.S. Supreme Court engages in statutory interpretation in civil rights cases.  This means that the Court is interpreting the meaning of statutes, but does not evaluate those statutes for their constitutionality. </w:t>
      </w:r>
    </w:p>
    <w:p w:rsidR="00000000" w:rsidDel="00000000" w:rsidP="00000000" w:rsidRDefault="00000000" w:rsidRPr="00000000" w14:paraId="00000066">
      <w:pPr>
        <w:spacing w:line="240" w:lineRule="auto"/>
        <w:ind w:firstLine="720"/>
        <w:rPr>
          <w:rFonts w:ascii="Times New Roman" w:cs="Times New Roman" w:eastAsia="Times New Roman" w:hAnsi="Times New Roman"/>
          <w:sz w:val="24"/>
          <w:szCs w:val="24"/>
        </w:rPr>
      </w:pPr>
      <w:r w:rsidDel="00000000" w:rsidR="00000000" w:rsidRPr="00000000">
        <w:rPr>
          <w:rtl w:val="0"/>
        </w:rPr>
      </w:r>
    </w:p>
    <w:tbl>
      <w:tblPr>
        <w:tblStyle w:val="Table5"/>
        <w:tblW w:w="9765.0" w:type="dxa"/>
        <w:jc w:val="left"/>
        <w:tblInd w:w="5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5"/>
        <w:gridCol w:w="1485"/>
        <w:gridCol w:w="3510"/>
        <w:gridCol w:w="1845"/>
        <w:tblGridChange w:id="0">
          <w:tblGrid>
            <w:gridCol w:w="2925"/>
            <w:gridCol w:w="1485"/>
            <w:gridCol w:w="3510"/>
            <w:gridCol w:w="1845"/>
          </w:tblGrid>
        </w:tblGridChange>
      </w:tblGrid>
      <w:tr>
        <w:trPr>
          <w:cantSplit w:val="0"/>
          <w:tblHeader w:val="0"/>
        </w:trPr>
        <w:tc>
          <w:tcPr/>
          <w:p w:rsidR="00000000" w:rsidDel="00000000" w:rsidP="00000000" w:rsidRDefault="00000000" w:rsidRPr="00000000" w14:paraId="0000006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w:t>
            </w:r>
          </w:p>
        </w:tc>
        <w:tc>
          <w:tcPr/>
          <w:p w:rsidR="00000000" w:rsidDel="00000000" w:rsidP="00000000" w:rsidRDefault="00000000" w:rsidRPr="00000000" w14:paraId="0000006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p w:rsidR="00000000" w:rsidDel="00000000" w:rsidP="00000000" w:rsidRDefault="00000000" w:rsidRPr="00000000" w14:paraId="0000006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Provision</w:t>
            </w:r>
          </w:p>
        </w:tc>
        <w:tc>
          <w:tcPr/>
          <w:p w:rsidR="00000000" w:rsidDel="00000000" w:rsidP="00000000" w:rsidRDefault="00000000" w:rsidRPr="00000000" w14:paraId="0000006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r>
      <w:tr>
        <w:trPr>
          <w:cantSplit w:val="0"/>
          <w:tblHeader w:val="0"/>
        </w:trPr>
        <w:tc>
          <w:tcPr/>
          <w:p w:rsidR="00000000" w:rsidDel="00000000" w:rsidP="00000000" w:rsidRDefault="00000000" w:rsidRPr="00000000" w14:paraId="0000006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Plessy v. Ferguson </w:t>
            </w:r>
          </w:p>
        </w:tc>
        <w:tc>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1896</w:t>
            </w:r>
          </w:p>
        </w:tc>
        <w:tc>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protection</w:t>
            </w:r>
          </w:p>
        </w:tc>
        <w:tc>
          <w:tcPr/>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Fourteenth</w:t>
            </w:r>
          </w:p>
        </w:tc>
      </w:tr>
      <w:tr>
        <w:trPr>
          <w:cantSplit w:val="0"/>
          <w:tblHeader w:val="0"/>
        </w:trPr>
        <w:tc>
          <w:tcPr/>
          <w:p w:rsidR="00000000" w:rsidDel="00000000" w:rsidP="00000000" w:rsidRDefault="00000000" w:rsidRPr="00000000" w14:paraId="0000006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p>
        </w:tc>
        <w:tc>
          <w:tcPr/>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1954</w:t>
            </w:r>
          </w:p>
        </w:tc>
        <w:tc>
          <w:tcPr/>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protection</w:t>
            </w:r>
          </w:p>
        </w:tc>
        <w:tc>
          <w:tcPr/>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Fourteenth</w:t>
            </w:r>
          </w:p>
        </w:tc>
      </w:tr>
      <w:tr>
        <w:trPr>
          <w:cantSplit w:val="0"/>
          <w:tblHeader w:val="0"/>
        </w:trPr>
        <w:tc>
          <w:tcPr/>
          <w:p w:rsidR="00000000" w:rsidDel="00000000" w:rsidP="00000000" w:rsidRDefault="00000000" w:rsidRPr="00000000" w14:paraId="0000007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Regents of California v. Bakke</w:t>
            </w:r>
          </w:p>
        </w:tc>
        <w:tc>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1978</w:t>
            </w:r>
          </w:p>
        </w:tc>
        <w:tc>
          <w:tcPr/>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protection</w:t>
            </w:r>
          </w:p>
        </w:tc>
        <w:tc>
          <w:tcPr/>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Fourteenth</w:t>
            </w:r>
          </w:p>
        </w:tc>
      </w:tr>
    </w:tbl>
    <w:p w:rsidR="00000000" w:rsidDel="00000000" w:rsidP="00000000" w:rsidRDefault="00000000" w:rsidRPr="00000000" w14:paraId="0000007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p w:rsidR="00000000" w:rsidDel="00000000" w:rsidP="00000000" w:rsidRDefault="00000000" w:rsidRPr="00000000" w14:paraId="0000007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7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7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7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7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7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8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9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A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pPr>
      <w:r w:rsidDel="00000000" w:rsidR="00000000" w:rsidRPr="00000000">
        <w:rPr>
          <w:rtl w:val="0"/>
        </w:rPr>
      </w:r>
    </w:p>
    <w:p w:rsidR="00000000" w:rsidDel="00000000" w:rsidP="00000000" w:rsidRDefault="00000000" w:rsidRPr="00000000" w14:paraId="000000A1">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3"/>
      <w:bookmarkEnd w:id="3"/>
      <w:r w:rsidDel="00000000" w:rsidR="00000000" w:rsidRPr="00000000">
        <w:rPr>
          <w:color w:val="000000"/>
          <w:rtl w:val="0"/>
        </w:rPr>
        <w:t xml:space="preserve">L</w:t>
      </w:r>
      <w:r w:rsidDel="00000000" w:rsidR="00000000" w:rsidRPr="00000000">
        <w:rPr>
          <w:rFonts w:ascii="Times New Roman" w:cs="Times New Roman" w:eastAsia="Times New Roman" w:hAnsi="Times New Roman"/>
          <w:b w:val="1"/>
          <w:color w:val="000000"/>
          <w:sz w:val="28"/>
          <w:szCs w:val="28"/>
          <w:rtl w:val="0"/>
        </w:rPr>
        <w:t xml:space="preserve">esson Summary</w:t>
      </w:r>
    </w:p>
    <w:p w:rsidR="00000000" w:rsidDel="00000000" w:rsidP="00000000" w:rsidRDefault="00000000" w:rsidRPr="00000000" w14:paraId="000000A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SS.912.CG.3.11 </w:t>
            </w:r>
            <w:r w:rsidDel="00000000" w:rsidR="00000000" w:rsidRPr="00000000">
              <w:rPr>
                <w:rFonts w:ascii="Times New Roman" w:cs="Times New Roman" w:eastAsia="Times New Roman" w:hAnsi="Times New Roman"/>
                <w:sz w:val="24"/>
                <w:szCs w:val="24"/>
                <w:rtl w:val="0"/>
              </w:rPr>
              <w:t xml:space="preserve">Evaluate how landmark Supreme Court decisions affect law, liberty and the interpretation of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landmark Supreme Court cases (e.g., </w:t>
            </w:r>
            <w:r w:rsidDel="00000000" w:rsidR="00000000" w:rsidRPr="00000000">
              <w:rPr>
                <w:rFonts w:ascii="Times New Roman" w:cs="Times New Roman" w:eastAsia="Times New Roman" w:hAnsi="Times New Roman"/>
                <w:i w:val="1"/>
                <w:sz w:val="24"/>
                <w:szCs w:val="24"/>
                <w:rtl w:val="0"/>
              </w:rPr>
              <w:t xml:space="preserve">Marbury v. Madison; McCulloch v. Maryland; Dred Scott v. Sandford; Plessy v. Ferguson; Brown v. Board of Education; Gideon v. Wainwright; Miranda v. Arizona; Korematsu v. United States; Mapp v. Ohio; In re Gault; United States v. Nixon; Regents of the University of California v. Bakke; Hazelwood v. Kuhlmeier; District of Columbia v. Heller)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foundational constitutional issues underlying landmark Supreme Court decisions related to the Bill of Rights and other amendments.</w:t>
            </w:r>
          </w:p>
          <w:p w:rsidR="00000000" w:rsidDel="00000000" w:rsidP="00000000" w:rsidRDefault="00000000" w:rsidRPr="00000000" w14:paraId="000000A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outcomes of landmark Supreme Court cases related to the Bill of Rights and other amendments.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9">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w:t>
            </w:r>
            <w:r w:rsidDel="00000000" w:rsidR="00000000" w:rsidRPr="00000000">
              <w:rPr>
                <w:rFonts w:ascii="Times New Roman" w:cs="Times New Roman" w:eastAsia="Times New Roman" w:hAnsi="Times New Roman"/>
                <w:sz w:val="24"/>
                <w:szCs w:val="24"/>
                <w:rtl w:val="0"/>
              </w:rPr>
              <w:t xml:space="preserve"> Understanding of the basic principles and practices of American democracy and how they are applied in our republican form of government</w:t>
            </w:r>
          </w:p>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w:t>
            </w:r>
            <w:r w:rsidDel="00000000" w:rsidR="00000000" w:rsidRPr="00000000">
              <w:rPr>
                <w:rFonts w:ascii="Times New Roman" w:cs="Times New Roman" w:eastAsia="Times New Roman" w:hAnsi="Times New Roman"/>
                <w:sz w:val="24"/>
                <w:szCs w:val="24"/>
                <w:rtl w:val="0"/>
              </w:rPr>
              <w:t xml:space="preserve"> 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the effects of select landmark Supreme Court decisions.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have the decisions in historic landmark Supreme Court cases significantly affected the American constitutional government and American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0">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14th Amendment, Bill of Rights</w:t>
            </w:r>
            <w:r w:rsidDel="00000000" w:rsidR="00000000" w:rsidRPr="00000000">
              <w:rPr>
                <w:rFonts w:ascii="Times New Roman" w:cs="Times New Roman" w:eastAsia="Times New Roman" w:hAnsi="Times New Roman"/>
                <w:i w:val="1"/>
                <w:sz w:val="24"/>
                <w:szCs w:val="24"/>
                <w:rtl w:val="0"/>
              </w:rPr>
              <w:t xml:space="preserve">, Brown v. Board of Education, District of Columbia v. Heller, Dred Scott v. Sandford, </w:t>
            </w:r>
            <w:r w:rsidDel="00000000" w:rsidR="00000000" w:rsidRPr="00000000">
              <w:rPr>
                <w:rFonts w:ascii="Times New Roman" w:cs="Times New Roman" w:eastAsia="Times New Roman" w:hAnsi="Times New Roman"/>
                <w:sz w:val="24"/>
                <w:szCs w:val="24"/>
                <w:rtl w:val="0"/>
              </w:rPr>
              <w:t xml:space="preserve">due process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Equal Protection Clause</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executive privilege</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Gideon v. Wainwright, Hazelwood v. Kuhlmeier, In re Gault, </w:t>
            </w:r>
            <w:r w:rsidDel="00000000" w:rsidR="00000000" w:rsidRPr="00000000">
              <w:rPr>
                <w:rFonts w:ascii="Times New Roman" w:cs="Times New Roman" w:eastAsia="Times New Roman" w:hAnsi="Times New Roman"/>
                <w:sz w:val="24"/>
                <w:szCs w:val="24"/>
                <w:rtl w:val="0"/>
              </w:rPr>
              <w:t xml:space="preserve">judicial review</w:t>
            </w:r>
            <w:r w:rsidDel="00000000" w:rsidR="00000000" w:rsidRPr="00000000">
              <w:rPr>
                <w:rFonts w:ascii="Times New Roman" w:cs="Times New Roman" w:eastAsia="Times New Roman" w:hAnsi="Times New Roman"/>
                <w:b w:val="1"/>
                <w:i w:val="1"/>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juvenile rights</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Korematsu v. United States, </w:t>
            </w:r>
            <w:r w:rsidDel="00000000" w:rsidR="00000000" w:rsidRPr="00000000">
              <w:rPr>
                <w:rFonts w:ascii="Times New Roman" w:cs="Times New Roman" w:eastAsia="Times New Roman" w:hAnsi="Times New Roman"/>
                <w:sz w:val="24"/>
                <w:szCs w:val="24"/>
                <w:rtl w:val="0"/>
              </w:rPr>
              <w:t xml:space="preserve">landmark, legal equality,</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legal precedent</w:t>
            </w:r>
            <w:r w:rsidDel="00000000" w:rsidR="00000000" w:rsidRPr="00000000">
              <w:rPr>
                <w:rFonts w:ascii="Times New Roman" w:cs="Times New Roman" w:eastAsia="Times New Roman" w:hAnsi="Times New Roman"/>
                <w:b w:val="1"/>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Mapp v. Ohio, Marbury v. Madison, McCulloch v. Maryland, Miranda v. Arizona, </w:t>
            </w:r>
            <w:r w:rsidDel="00000000" w:rsidR="00000000" w:rsidRPr="00000000">
              <w:rPr>
                <w:rFonts w:ascii="Times New Roman" w:cs="Times New Roman" w:eastAsia="Times New Roman" w:hAnsi="Times New Roman"/>
                <w:sz w:val="24"/>
                <w:szCs w:val="24"/>
                <w:rtl w:val="0"/>
              </w:rPr>
              <w:t xml:space="preserve">Necessary and Proper Clause</w:t>
            </w:r>
            <w:r w:rsidDel="00000000" w:rsidR="00000000" w:rsidRPr="00000000">
              <w:rPr>
                <w:rFonts w:ascii="Times New Roman" w:cs="Times New Roman" w:eastAsia="Times New Roman" w:hAnsi="Times New Roman"/>
                <w:i w:val="1"/>
                <w:sz w:val="24"/>
                <w:szCs w:val="24"/>
                <w:rtl w:val="0"/>
              </w:rPr>
              <w:t xml:space="preserve">, Plessy v. Ferguson, Regents of the University of California v. Bakke, </w:t>
            </w:r>
            <w:r w:rsidDel="00000000" w:rsidR="00000000" w:rsidRPr="00000000">
              <w:rPr>
                <w:rFonts w:ascii="Times New Roman" w:cs="Times New Roman" w:eastAsia="Times New Roman" w:hAnsi="Times New Roman"/>
                <w:sz w:val="24"/>
                <w:szCs w:val="24"/>
                <w:rtl w:val="0"/>
              </w:rPr>
              <w:t xml:space="preserve">rights of the accused, self-incrimination</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Supremacy Clause</w:t>
            </w:r>
            <w:r w:rsidDel="00000000" w:rsidR="00000000" w:rsidRPr="00000000">
              <w:rPr>
                <w:rFonts w:ascii="Times New Roman" w:cs="Times New Roman" w:eastAsia="Times New Roman" w:hAnsi="Times New Roman"/>
                <w:i w:val="1"/>
                <w:sz w:val="24"/>
                <w:szCs w:val="24"/>
                <w:rtl w:val="0"/>
              </w:rPr>
              <w:t xml:space="preserve">, United States v. Nixon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2">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Reading of complex text   </w:t>
              <w:tab/>
              <w:t xml:space="preserve">                Cooperative learning   </w:t>
              <w:tab/>
              <w:t xml:space="preserve">                Document analysis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numPr>
                <w:ilvl w:val="0"/>
                <w:numId w:val="4"/>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Amendment Images</w:t>
            </w:r>
          </w:p>
          <w:p w:rsidR="00000000" w:rsidDel="00000000" w:rsidP="00000000" w:rsidRDefault="00000000" w:rsidRPr="00000000" w14:paraId="000000B6">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and 14th Amendment text</w:t>
            </w:r>
          </w:p>
          <w:p w:rsidR="00000000" w:rsidDel="00000000" w:rsidP="00000000" w:rsidRDefault="00000000" w:rsidRPr="00000000" w14:paraId="000000B7">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notes (5 per student)</w:t>
            </w:r>
          </w:p>
          <w:p w:rsidR="00000000" w:rsidDel="00000000" w:rsidP="00000000" w:rsidRDefault="00000000" w:rsidRPr="00000000" w14:paraId="000000B8">
            <w:pPr>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Landmark Supreme Court Cases</w:t>
            </w:r>
            <w:r w:rsidDel="00000000" w:rsidR="00000000" w:rsidRPr="00000000">
              <w:rPr>
                <w:rFonts w:ascii="Times New Roman" w:cs="Times New Roman" w:eastAsia="Times New Roman" w:hAnsi="Times New Roman"/>
                <w:sz w:val="24"/>
                <w:szCs w:val="24"/>
                <w:rtl w:val="0"/>
              </w:rPr>
              <w:t xml:space="preserve"> Graphic Organizer </w:t>
            </w:r>
          </w:p>
          <w:p w:rsidR="00000000" w:rsidDel="00000000" w:rsidP="00000000" w:rsidRDefault="00000000" w:rsidRPr="00000000" w14:paraId="000000B9">
            <w:pPr>
              <w:numPr>
                <w:ilvl w:val="0"/>
                <w:numId w:val="5"/>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Landmark Supreme Court Cases reading packet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A">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BC">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BD">
            <w:pPr>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ELA.R.3.3 Comparative Reading</w:t>
            </w:r>
          </w:p>
        </w:tc>
      </w:tr>
    </w:tbl>
    <w:p w:rsidR="00000000" w:rsidDel="00000000" w:rsidP="00000000" w:rsidRDefault="00000000" w:rsidRPr="00000000" w14:paraId="000000B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F">
      <w:pPr>
        <w:pStyle w:val="Heading2"/>
        <w:spacing w:after="200" w:line="240" w:lineRule="auto"/>
        <w:jc w:val="center"/>
        <w:rPr>
          <w:rFonts w:ascii="Times New Roman" w:cs="Times New Roman" w:eastAsia="Times New Roman" w:hAnsi="Times New Roman"/>
          <w:b w:val="1"/>
          <w:color w:val="000000"/>
          <w:sz w:val="28"/>
          <w:szCs w:val="28"/>
        </w:rPr>
      </w:pPr>
      <w:bookmarkStart w:colFirst="0" w:colLast="0" w:name="_hohn4vjjapi7" w:id="4"/>
      <w:bookmarkEnd w:id="4"/>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tabs>
                <w:tab w:val="left" w:leader="none" w:pos="0"/>
                <w:tab w:val="left" w:leader="none" w:pos="220"/>
              </w:tabs>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This lesson should be taught after teaching the judicial branch introduction in SS.912.CG.3.7 and SS.912.CG.3.8. Additional elements of the judicial branch will also be taught in benchmarks SS.912.CG.3.9, SS.912.CG.3.10, and SS.912.CG.3.14. </w:t>
            </w:r>
            <w:r w:rsidDel="00000000" w:rsidR="00000000" w:rsidRPr="00000000">
              <w:rPr>
                <w:rtl w:val="0"/>
              </w:rPr>
            </w:r>
          </w:p>
          <w:p w:rsidR="00000000" w:rsidDel="00000000" w:rsidP="00000000" w:rsidRDefault="00000000" w:rsidRPr="00000000" w14:paraId="000000C4">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Additionally, you will need to print and hang up the “</w:t>
            </w:r>
            <w:r w:rsidDel="00000000" w:rsidR="00000000" w:rsidRPr="00000000">
              <w:rPr>
                <w:rFonts w:ascii="Times New Roman" w:cs="Times New Roman" w:eastAsia="Times New Roman" w:hAnsi="Times New Roman"/>
                <w:i w:val="1"/>
                <w:sz w:val="24"/>
                <w:szCs w:val="24"/>
                <w:rtl w:val="0"/>
              </w:rPr>
              <w:t xml:space="preserve">Amendment Images</w:t>
            </w:r>
            <w:r w:rsidDel="00000000" w:rsidR="00000000" w:rsidRPr="00000000">
              <w:rPr>
                <w:rFonts w:ascii="Times New Roman" w:cs="Times New Roman" w:eastAsia="Times New Roman" w:hAnsi="Times New Roman"/>
                <w:i w:val="1"/>
                <w:sz w:val="24"/>
                <w:szCs w:val="24"/>
                <w:rtl w:val="0"/>
              </w:rPr>
              <w:t xml:space="preserve">” around your classroom and have sticky notes ready to be distributed at the beginning of the class period.</w:t>
            </w:r>
          </w:p>
          <w:p w:rsidR="00000000" w:rsidDel="00000000" w:rsidP="00000000" w:rsidRDefault="00000000" w:rsidRPr="00000000" w14:paraId="000000C5">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w:t>
            </w:r>
            <w:r w:rsidDel="00000000" w:rsidR="00000000" w:rsidRPr="00000000">
              <w:rPr>
                <w:rFonts w:ascii="Times New Roman" w:cs="Times New Roman" w:eastAsia="Times New Roman" w:hAnsi="Times New Roman"/>
                <w:sz w:val="24"/>
                <w:szCs w:val="24"/>
                <w:rtl w:val="0"/>
              </w:rPr>
              <w:t xml:space="preserve">The Bill of Rights and 14th Amendment</w:t>
            </w:r>
            <w:r w:rsidDel="00000000" w:rsidR="00000000" w:rsidRPr="00000000">
              <w:rPr>
                <w:rFonts w:ascii="Times New Roman" w:cs="Times New Roman" w:eastAsia="Times New Roman" w:hAnsi="Times New Roman"/>
                <w:sz w:val="24"/>
                <w:szCs w:val="24"/>
                <w:rtl w:val="0"/>
              </w:rPr>
              <w:t xml:space="preserve">” text.</w:t>
            </w:r>
          </w:p>
          <w:p w:rsidR="00000000" w:rsidDel="00000000" w:rsidP="00000000" w:rsidRDefault="00000000" w:rsidRPr="00000000" w14:paraId="000000C6">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 a quick review of the Bill of Rights and section I of the 14th Amendment.</w:t>
            </w:r>
          </w:p>
          <w:p w:rsidR="00000000" w:rsidDel="00000000" w:rsidP="00000000" w:rsidRDefault="00000000" w:rsidRPr="00000000" w14:paraId="000000C7">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five sticky notes to each student. Have them put their names on them.</w:t>
            </w:r>
          </w:p>
          <w:p w:rsidR="00000000" w:rsidDel="00000000" w:rsidP="00000000" w:rsidRDefault="00000000" w:rsidRPr="00000000" w14:paraId="000000C8">
            <w:pPr>
              <w:numPr>
                <w:ilvl w:val="0"/>
                <w:numId w:val="3"/>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the following instructions: Around the room is a series of images. You are going to move around and view each of them. After viewing the image, use one sticky note per image, and write out </w:t>
            </w:r>
            <w:r w:rsidDel="00000000" w:rsidR="00000000" w:rsidRPr="00000000">
              <w:rPr>
                <w:rFonts w:ascii="Times New Roman" w:cs="Times New Roman" w:eastAsia="Times New Roman" w:hAnsi="Times New Roman"/>
                <w:sz w:val="24"/>
                <w:szCs w:val="24"/>
                <w:rtl w:val="0"/>
              </w:rPr>
              <w:t xml:space="preserve">the amendment number</w:t>
            </w:r>
            <w:r w:rsidDel="00000000" w:rsidR="00000000" w:rsidRPr="00000000">
              <w:rPr>
                <w:rFonts w:ascii="Times New Roman" w:cs="Times New Roman" w:eastAsia="Times New Roman" w:hAnsi="Times New Roman"/>
                <w:sz w:val="24"/>
                <w:szCs w:val="24"/>
                <w:rtl w:val="0"/>
              </w:rPr>
              <w:t xml:space="preserve"> you think relates to that image.</w:t>
            </w:r>
          </w:p>
          <w:p w:rsidR="00000000" w:rsidDel="00000000" w:rsidP="00000000" w:rsidRDefault="00000000" w:rsidRPr="00000000" w14:paraId="000000C9">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211d1e"/>
                <w:sz w:val="24"/>
                <w:szCs w:val="24"/>
                <w:rtl w:val="0"/>
              </w:rPr>
              <w:t xml:space="preserve">Teacher Note:</w:t>
            </w:r>
            <w:r w:rsidDel="00000000" w:rsidR="00000000" w:rsidRPr="00000000">
              <w:rPr>
                <w:rFonts w:ascii="Times New Roman" w:cs="Times New Roman" w:eastAsia="Times New Roman" w:hAnsi="Times New Roman"/>
                <w:i w:val="1"/>
                <w:color w:val="211d1e"/>
                <w:sz w:val="24"/>
                <w:szCs w:val="24"/>
                <w:rtl w:val="0"/>
              </w:rPr>
              <w:t xml:space="preserve"> </w:t>
            </w:r>
            <w:r w:rsidDel="00000000" w:rsidR="00000000" w:rsidRPr="00000000">
              <w:rPr>
                <w:rFonts w:ascii="Times New Roman" w:cs="Times New Roman" w:eastAsia="Times New Roman" w:hAnsi="Times New Roman"/>
                <w:color w:val="211d1e"/>
                <w:sz w:val="24"/>
                <w:szCs w:val="24"/>
                <w:rtl w:val="0"/>
              </w:rPr>
              <w:t xml:space="preserve">More than one amendment might relate to each image. Answers are in the speaker notes of the slides for the images.</w:t>
            </w:r>
            <w:r w:rsidDel="00000000" w:rsidR="00000000" w:rsidRPr="00000000">
              <w:rPr>
                <w:rtl w:val="0"/>
              </w:rPr>
            </w:r>
          </w:p>
          <w:p w:rsidR="00000000" w:rsidDel="00000000" w:rsidP="00000000" w:rsidRDefault="00000000" w:rsidRPr="00000000" w14:paraId="000000CA">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time for the students to walk around viewing images and placing their sticky notes.  </w:t>
            </w:r>
            <w:r w:rsidDel="00000000" w:rsidR="00000000" w:rsidRPr="00000000">
              <w:rPr>
                <w:rtl w:val="0"/>
              </w:rPr>
            </w:r>
          </w:p>
          <w:p w:rsidR="00000000" w:rsidDel="00000000" w:rsidP="00000000" w:rsidRDefault="00000000" w:rsidRPr="00000000" w14:paraId="000000CB">
            <w:pPr>
              <w:numPr>
                <w:ilvl w:val="0"/>
                <w:numId w:val="3"/>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Walk around the room to each image. At each image, randomly pull off a sticky note with the amendment number. Ask that student the following question: What evidence from this image justifies your choice? Follow up with the questions: Did anyone else interpret this image as aligning to the same amendment number? A different amendment/constitutional issue? </w:t>
            </w:r>
          </w:p>
          <w:p w:rsidR="00000000" w:rsidDel="00000000" w:rsidP="00000000" w:rsidRDefault="00000000" w:rsidRPr="00000000" w14:paraId="000000CC">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w:t>
            </w:r>
            <w:r w:rsidDel="00000000" w:rsidR="00000000" w:rsidRPr="00000000">
              <w:rPr>
                <w:rFonts w:ascii="Times New Roman" w:cs="Times New Roman" w:eastAsia="Times New Roman" w:hAnsi="Times New Roman"/>
                <w:sz w:val="24"/>
                <w:szCs w:val="24"/>
                <w:rtl w:val="0"/>
              </w:rPr>
              <w:t xml:space="preserve">ead students to the understanding that the topics of the Bill of Rights and the 14th Amendment are often where our most contested constitutional issues arise. </w:t>
            </w:r>
          </w:p>
          <w:p w:rsidR="00000000" w:rsidDel="00000000" w:rsidP="00000000" w:rsidRDefault="00000000" w:rsidRPr="00000000" w14:paraId="000000CD">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constitutional interpretations of these amendments have come from the decisions in landmark U.S. Supreme Court cases.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CE">
            <w:pPr>
              <w:numPr>
                <w:ilvl w:val="0"/>
                <w:numId w:val="3"/>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does ‘landmark’ mean? (an important or unique decision, event, fact, discovery, etc.)</w:t>
            </w:r>
          </w:p>
          <w:p w:rsidR="00000000" w:rsidDel="00000000" w:rsidP="00000000" w:rsidRDefault="00000000" w:rsidRPr="00000000" w14:paraId="000000CF">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in the remainder of this lesson, they are going to learn about and evaluate several </w:t>
            </w:r>
            <w:r w:rsidDel="00000000" w:rsidR="00000000" w:rsidRPr="00000000">
              <w:rPr>
                <w:rFonts w:ascii="Times New Roman" w:cs="Times New Roman" w:eastAsia="Times New Roman" w:hAnsi="Times New Roman"/>
                <w:sz w:val="24"/>
                <w:szCs w:val="24"/>
                <w:rtl w:val="0"/>
              </w:rPr>
              <w:t xml:space="preserve">landmark</w:t>
            </w:r>
            <w:r w:rsidDel="00000000" w:rsidR="00000000" w:rsidRPr="00000000">
              <w:rPr>
                <w:rFonts w:ascii="Times New Roman" w:cs="Times New Roman" w:eastAsia="Times New Roman" w:hAnsi="Times New Roman"/>
                <w:sz w:val="24"/>
                <w:szCs w:val="24"/>
                <w:rtl w:val="0"/>
              </w:rPr>
              <w:t xml:space="preserve"> U.S. Supreme Court cases which have had a big impact on society.</w:t>
            </w:r>
          </w:p>
          <w:p w:rsidR="00000000" w:rsidDel="00000000" w:rsidP="00000000" w:rsidRDefault="00000000" w:rsidRPr="00000000" w14:paraId="000000D0">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Landmark Supreme Court Cases Graphic Organizer.”</w:t>
            </w:r>
            <w:r w:rsidDel="00000000" w:rsidR="00000000" w:rsidRPr="00000000">
              <w:rPr>
                <w:rtl w:val="0"/>
              </w:rPr>
            </w:r>
          </w:p>
          <w:p w:rsidR="00000000" w:rsidDel="00000000" w:rsidP="00000000" w:rsidRDefault="00000000" w:rsidRPr="00000000" w14:paraId="000000D1">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you are going to model how to fill out the graphic organizer by completing the court case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together. </w:t>
            </w:r>
          </w:p>
          <w:p w:rsidR="00000000" w:rsidDel="00000000" w:rsidP="00000000" w:rsidRDefault="00000000" w:rsidRPr="00000000" w14:paraId="000000D2">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Landmark Supreme Court Cases” reading packet</w:t>
            </w:r>
            <w:r w:rsidDel="00000000" w:rsidR="00000000" w:rsidRPr="00000000">
              <w:rPr>
                <w:rFonts w:ascii="Times New Roman" w:cs="Times New Roman" w:eastAsia="Times New Roman" w:hAnsi="Times New Roman"/>
                <w:sz w:val="24"/>
                <w:szCs w:val="24"/>
                <w:rtl w:val="0"/>
              </w:rPr>
              <w:t xml:space="preserve"> and read through the text of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as a whole class. </w:t>
            </w:r>
          </w:p>
          <w:p w:rsidR="00000000" w:rsidDel="00000000" w:rsidP="00000000" w:rsidRDefault="00000000" w:rsidRPr="00000000" w14:paraId="000000D3">
            <w:pPr>
              <w:numPr>
                <w:ilvl w:val="0"/>
                <w:numId w:val="3"/>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take 5-10 minutes to work individually and fill out the graphic organizer with a pencil.</w:t>
            </w:r>
          </w:p>
          <w:p w:rsidR="00000000" w:rsidDel="00000000" w:rsidP="00000000" w:rsidRDefault="00000000" w:rsidRPr="00000000" w14:paraId="000000D4">
            <w:pPr>
              <w:numPr>
                <w:ilvl w:val="0"/>
                <w:numId w:val="3"/>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students have had time to fill out the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row on the graphic organizer, have students share out answers to review as a whole group, having students correct their work.</w:t>
            </w:r>
          </w:p>
          <w:p w:rsidR="00000000" w:rsidDel="00000000" w:rsidP="00000000" w:rsidRDefault="00000000" w:rsidRPr="00000000" w14:paraId="000000D5">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w:t>
            </w:r>
          </w:p>
          <w:p w:rsidR="00000000" w:rsidDel="00000000" w:rsidP="00000000" w:rsidRDefault="00000000" w:rsidRPr="00000000" w14:paraId="000000D6">
            <w:pPr>
              <w:numPr>
                <w:ilvl w:val="0"/>
                <w:numId w:val="3"/>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D7">
            <w:pPr>
              <w:numPr>
                <w:ilvl w:val="0"/>
                <w:numId w:val="3"/>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continue to move through the cases in the reading packet, reading the information and completing the appropriate row on their organizer.</w:t>
            </w:r>
          </w:p>
          <w:p w:rsidR="00000000" w:rsidDel="00000000" w:rsidP="00000000" w:rsidRDefault="00000000" w:rsidRPr="00000000" w14:paraId="000000D8">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could allow this to be unstructured at students' own pace or set a timer with parameters for when they finish each one. This portion of the activity sequence will most likely take you into more days.</w:t>
            </w:r>
          </w:p>
          <w:p w:rsidR="00000000" w:rsidDel="00000000" w:rsidP="00000000" w:rsidRDefault="00000000" w:rsidRPr="00000000" w14:paraId="000000D9">
            <w:pPr>
              <w:numPr>
                <w:ilvl w:val="0"/>
                <w:numId w:val="3"/>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work, c</w:t>
            </w:r>
            <w:r w:rsidDel="00000000" w:rsidR="00000000" w:rsidRPr="00000000">
              <w:rPr>
                <w:rFonts w:ascii="Times New Roman" w:cs="Times New Roman" w:eastAsia="Times New Roman" w:hAnsi="Times New Roman"/>
                <w:sz w:val="24"/>
                <w:szCs w:val="24"/>
                <w:rtl w:val="0"/>
              </w:rPr>
              <w:t xml:space="preserve">irculate around the room and assist students as needed to check for understanding.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DA">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students have completed the graphic organizer, review answers as a whole group by having each pair share their answers for one court case.</w:t>
            </w:r>
          </w:p>
          <w:p w:rsidR="00000000" w:rsidDel="00000000" w:rsidP="00000000" w:rsidRDefault="00000000" w:rsidRPr="00000000" w14:paraId="000000D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Place emphasis on students’ understanding of the connection between the details of the court case/decision, the constitutional issue, and corresponding amendment. </w:t>
            </w:r>
          </w:p>
          <w:p w:rsidR="00000000" w:rsidDel="00000000" w:rsidP="00000000" w:rsidRDefault="00000000" w:rsidRPr="00000000" w14:paraId="000000DC">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DD">
            <w:pPr>
              <w:spacing w:line="240" w:lineRule="auto"/>
              <w:ind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the following prompt:</w:t>
            </w:r>
          </w:p>
          <w:p w:rsidR="00000000" w:rsidDel="00000000" w:rsidP="00000000" w:rsidRDefault="00000000" w:rsidRPr="00000000" w14:paraId="000000DE">
            <w:pPr>
              <w:spacing w:line="240" w:lineRule="auto"/>
              <w:ind w:firstLine="36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w:t>
            </w:r>
          </w:p>
          <w:p w:rsidR="00000000" w:rsidDel="00000000" w:rsidP="00000000" w:rsidRDefault="00000000" w:rsidRPr="00000000" w14:paraId="000000DF">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a well-crafted informative text to explain how U.S. Supreme Court cases have had an impact on society. Provide examples from at least three U.S. Supreme Court cases you have learned about in this lesson. </w:t>
            </w:r>
          </w:p>
        </w:tc>
      </w:tr>
    </w:tbl>
    <w:p w:rsidR="00000000" w:rsidDel="00000000" w:rsidP="00000000" w:rsidRDefault="00000000" w:rsidRPr="00000000" w14:paraId="000000E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4">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5"/>
      <w:bookmarkEnd w:id="5"/>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10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10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10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1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14th Amendment</w:t>
            </w:r>
          </w:p>
        </w:tc>
        <w:tc>
          <w:tcPr/>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added to the Constitution in 1868, this amendment defined citizenship and granted citizens equal protection under the laws</w:t>
            </w:r>
          </w:p>
        </w:tc>
      </w:tr>
      <w:tr>
        <w:trPr>
          <w:cantSplit w:val="0"/>
          <w:tblHeader w:val="0"/>
        </w:trPr>
        <w:tc>
          <w:tcPr/>
          <w:p w:rsidR="00000000" w:rsidDel="00000000" w:rsidP="00000000" w:rsidRDefault="00000000" w:rsidRPr="00000000" w14:paraId="0000010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 of Rights</w:t>
            </w:r>
          </w:p>
        </w:tc>
        <w:tc>
          <w:tcPr/>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ten amendments added to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Brown v. Board of 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determined that “separate but equal” segregation was not equal in public education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District of Columbia v. Heller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upheld 2nd Amendment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Dred Scott v. Sandford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U.S. Supreme Court decision in which the Court ruled that African Americans, whether enslaved or free, were not citizens of the United States and therefore did not have the right to sue in federal court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the right of people accused of crimes to have laws that treat them fairly, so that they cannot lose their life or freedom without having their legal rights protected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 Protection Clause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section of the 14th Amendment that says that states must apply the law equally and cannot discriminate against citizens or groups of citizens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privilege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belief that the conversations between the president and his aides are confidential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Gideon v. Wainwright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upheld the 6th Amendment right that all defendants must be appointed a lawyer if they cannot afford their own attorney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Hazelwood v. Kuhlmeier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determined that the 1st Amendment does not protect all types of student speech in school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C">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In re Gault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determined that juvenile court must follow the 14th Amendment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review</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judicial branch to review the actions of the executive and legislative branches and determine whether or not they are unconstitutional (this includes laws passed by Congress); the U.S. Supreme Court case Marbury v. Madison established this power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juvenile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of people under age 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Korematsu v. United States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upheld the exclusion of Japanese-Americans from military areas on the West Coast military area during World War II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important or unique decision, event, fact, discovery, etc.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legal equality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concept that everyone is equal in the eyes of the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legal precedent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or rule established in a previous legal case that becomes relevant in subsequent cases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Mapp v. Ohio</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extended the protections of the exclusionary rule to state criminal prosecutions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Marbury v. Madison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established judicial review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McCulloch v. Maryland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confirmed the creation of a U.S. bank was constitutional through the implied powers of Congress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Miranda v. Arizona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cases that upheld the 5th Amendment protection from self-incrimination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Necessary and Proper Clause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clause that </w:t>
            </w:r>
            <w:r w:rsidDel="00000000" w:rsidR="00000000" w:rsidRPr="00000000">
              <w:rPr>
                <w:rFonts w:ascii="Times New Roman" w:cs="Times New Roman" w:eastAsia="Times New Roman" w:hAnsi="Times New Roman"/>
                <w:color w:val="040c28"/>
                <w:sz w:val="24"/>
                <w:szCs w:val="24"/>
                <w:rtl w:val="0"/>
              </w:rPr>
              <w:t xml:space="preserve">allows Congress the ability to make laws or to act where the Constitution does not explicitly give it authority to act, found in Article 1. Also known as the Elastic Clause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Plessy v. Ferguson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determined that “separate but equal” segregation was not discrimination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Regents of the University of California v. Bakke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racial quotas violated the Equal Protection Clause of the 14th Amendment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rights of the accused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rights included in the 4th, 5th, and 6th Amendments: protection from unreasonable search and seizure, double jeopardy, and self-incrimination, the right to due process, right to a speedy and public trial, trial by jury, the right to be informed of criminal charges, right to be confronted by adverse witnesses, right to an attorney, protection from self-incrimination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self-incrimination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in the 5th Amendment that protects a person from being forced to reveal to the police, prosecutor, judge, or jury any information that might subject him or her to criminal prosecution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Supremacy Clause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clause that states that the U.S. Constitution is the supreme law of the land, and that national laws are supreme over state laws, found in Article VI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E">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United States v. Nixon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limited executive privilege </w:t>
            </w:r>
          </w:p>
        </w:tc>
      </w:tr>
    </w:tbl>
    <w:p w:rsidR="00000000" w:rsidDel="00000000" w:rsidP="00000000" w:rsidRDefault="00000000" w:rsidRPr="00000000" w14:paraId="0000014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pStyle w:val="Heading2"/>
        <w:spacing w:line="240" w:lineRule="auto"/>
        <w:rPr/>
      </w:pPr>
      <w:bookmarkStart w:colFirst="0" w:colLast="0" w:name="_2md225olb983" w:id="6"/>
      <w:bookmarkEnd w:id="6"/>
      <w:r w:rsidDel="00000000" w:rsidR="00000000" w:rsidRPr="00000000">
        <w:br w:type="page"/>
      </w:r>
      <w:r w:rsidDel="00000000" w:rsidR="00000000" w:rsidRPr="00000000">
        <w:rPr>
          <w:rtl w:val="0"/>
        </w:rPr>
      </w:r>
    </w:p>
    <w:p w:rsidR="00000000" w:rsidDel="00000000" w:rsidP="00000000" w:rsidRDefault="00000000" w:rsidRPr="00000000" w14:paraId="00000142">
      <w:pPr>
        <w:pStyle w:val="Heading2"/>
        <w:spacing w:line="240" w:lineRule="auto"/>
        <w:rPr/>
      </w:pPr>
      <w:bookmarkStart w:colFirst="0" w:colLast="0" w:name="_15f7rsqjmh08" w:id="7"/>
      <w:bookmarkEnd w:id="7"/>
      <w:r w:rsidDel="00000000" w:rsidR="00000000" w:rsidRPr="00000000">
        <w:rPr>
          <w:rtl w:val="0"/>
        </w:rPr>
        <w:t xml:space="preserve">Additional Resources, Answer Keys, and Sources </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3">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8"/>
            <w:bookmarkEnd w:id="8"/>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after="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14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47">
            <w:pPr>
              <w:widowControl w:val="0"/>
              <w:numPr>
                <w:ilvl w:val="0"/>
                <w:numId w:val="6"/>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(1954)</w:t>
            </w:r>
          </w:p>
          <w:p w:rsidR="00000000" w:rsidDel="00000000" w:rsidP="00000000" w:rsidRDefault="00000000" w:rsidRPr="00000000" w14:paraId="00000148">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Dred Scott v. Sandford </w:t>
            </w:r>
            <w:r w:rsidDel="00000000" w:rsidR="00000000" w:rsidRPr="00000000">
              <w:rPr>
                <w:rFonts w:ascii="Times New Roman" w:cs="Times New Roman" w:eastAsia="Times New Roman" w:hAnsi="Times New Roman"/>
                <w:sz w:val="24"/>
                <w:szCs w:val="24"/>
                <w:rtl w:val="0"/>
              </w:rPr>
              <w:t xml:space="preserve">(1857)</w:t>
            </w:r>
          </w:p>
          <w:p w:rsidR="00000000" w:rsidDel="00000000" w:rsidP="00000000" w:rsidRDefault="00000000" w:rsidRPr="00000000" w14:paraId="00000149">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Gideon v. Wainwright</w:t>
            </w:r>
            <w:r w:rsidDel="00000000" w:rsidR="00000000" w:rsidRPr="00000000">
              <w:rPr>
                <w:rFonts w:ascii="Times New Roman" w:cs="Times New Roman" w:eastAsia="Times New Roman" w:hAnsi="Times New Roman"/>
                <w:sz w:val="24"/>
                <w:szCs w:val="24"/>
                <w:rtl w:val="0"/>
              </w:rPr>
              <w:t xml:space="preserve"> (1963)</w:t>
            </w:r>
          </w:p>
          <w:p w:rsidR="00000000" w:rsidDel="00000000" w:rsidP="00000000" w:rsidRDefault="00000000" w:rsidRPr="00000000" w14:paraId="0000014A">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Korematsu v. United States</w:t>
            </w:r>
            <w:r w:rsidDel="00000000" w:rsidR="00000000" w:rsidRPr="00000000">
              <w:rPr>
                <w:rFonts w:ascii="Times New Roman" w:cs="Times New Roman" w:eastAsia="Times New Roman" w:hAnsi="Times New Roman"/>
                <w:sz w:val="24"/>
                <w:szCs w:val="24"/>
                <w:rtl w:val="0"/>
              </w:rPr>
              <w:t xml:space="preserve"> (1944)</w:t>
            </w:r>
          </w:p>
          <w:p w:rsidR="00000000" w:rsidDel="00000000" w:rsidP="00000000" w:rsidRDefault="00000000" w:rsidRPr="00000000" w14:paraId="0000014B">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(1803)</w:t>
            </w:r>
          </w:p>
          <w:p w:rsidR="00000000" w:rsidDel="00000000" w:rsidP="00000000" w:rsidRDefault="00000000" w:rsidRPr="00000000" w14:paraId="0000014C">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McCulloch v. Maryland </w:t>
            </w:r>
            <w:r w:rsidDel="00000000" w:rsidR="00000000" w:rsidRPr="00000000">
              <w:rPr>
                <w:rFonts w:ascii="Times New Roman" w:cs="Times New Roman" w:eastAsia="Times New Roman" w:hAnsi="Times New Roman"/>
                <w:sz w:val="24"/>
                <w:szCs w:val="24"/>
                <w:rtl w:val="0"/>
              </w:rPr>
              <w:t xml:space="preserve">(1819)</w:t>
            </w:r>
          </w:p>
          <w:p w:rsidR="00000000" w:rsidDel="00000000" w:rsidP="00000000" w:rsidRDefault="00000000" w:rsidRPr="00000000" w14:paraId="0000014D">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Miranda v. Arizona </w:t>
            </w:r>
            <w:r w:rsidDel="00000000" w:rsidR="00000000" w:rsidRPr="00000000">
              <w:rPr>
                <w:rFonts w:ascii="Times New Roman" w:cs="Times New Roman" w:eastAsia="Times New Roman" w:hAnsi="Times New Roman"/>
                <w:sz w:val="24"/>
                <w:szCs w:val="24"/>
                <w:rtl w:val="0"/>
              </w:rPr>
              <w:t xml:space="preserve">(1966)</w:t>
            </w:r>
          </w:p>
          <w:p w:rsidR="00000000" w:rsidDel="00000000" w:rsidP="00000000" w:rsidRDefault="00000000" w:rsidRPr="00000000" w14:paraId="0000014E">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(1896)</w:t>
            </w:r>
          </w:p>
        </w:tc>
      </w:tr>
    </w:tbl>
    <w:p w:rsidR="00000000" w:rsidDel="00000000" w:rsidP="00000000" w:rsidRDefault="00000000" w:rsidRPr="00000000" w14:paraId="0000014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Landmark Court Cases Graphic Organizer </w:t>
            </w:r>
          </w:p>
          <w:p w:rsidR="00000000" w:rsidDel="00000000" w:rsidP="00000000" w:rsidRDefault="00000000" w:rsidRPr="00000000" w14:paraId="000001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5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Links sourced within slides for Amendment images</w:t>
            </w:r>
            <w:r w:rsidDel="00000000" w:rsidR="00000000" w:rsidRPr="00000000">
              <w:rPr>
                <w:rtl w:val="0"/>
              </w:rPr>
            </w:r>
          </w:p>
          <w:p w:rsidR="00000000" w:rsidDel="00000000" w:rsidP="00000000" w:rsidRDefault="00000000" w:rsidRPr="00000000" w14:paraId="000001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Landmark Supreme Court Cases reading packet adapted from: </w:t>
            </w:r>
            <w:hyperlink r:id="rId11">
              <w:r w:rsidDel="00000000" w:rsidR="00000000" w:rsidRPr="00000000">
                <w:rPr>
                  <w:rFonts w:ascii="Times New Roman" w:cs="Times New Roman" w:eastAsia="Times New Roman" w:hAnsi="Times New Roman"/>
                  <w:color w:val="1155cc"/>
                  <w:sz w:val="24"/>
                  <w:szCs w:val="24"/>
                  <w:u w:val="single"/>
                  <w:rtl w:val="0"/>
                </w:rPr>
                <w:t xml:space="preserve">https://www.uscourts.gov/about-federal-courts/educational-resources</w:t>
              </w:r>
            </w:hyperlink>
            <w:r w:rsidDel="00000000" w:rsidR="00000000" w:rsidRPr="00000000">
              <w:rPr>
                <w:rtl w:val="0"/>
              </w:rPr>
            </w:r>
          </w:p>
          <w:p w:rsidR="00000000" w:rsidDel="00000000" w:rsidP="00000000" w:rsidRDefault="00000000" w:rsidRPr="00000000" w14:paraId="00000158">
            <w:pPr>
              <w:spacing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https://www.oyez.org</w:t>
              </w:r>
            </w:hyperlink>
            <w:r w:rsidDel="00000000" w:rsidR="00000000" w:rsidRPr="00000000">
              <w:rPr>
                <w:rtl w:val="0"/>
              </w:rPr>
            </w:r>
          </w:p>
          <w:p w:rsidR="00000000" w:rsidDel="00000000" w:rsidP="00000000" w:rsidRDefault="00000000" w:rsidRPr="00000000" w14:paraId="00000159">
            <w:pPr>
              <w:spacing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https://landmarkcases.org/landmark-cases/</w:t>
              </w:r>
            </w:hyperlink>
            <w:r w:rsidDel="00000000" w:rsidR="00000000" w:rsidRPr="00000000">
              <w:rPr>
                <w:rtl w:val="0"/>
              </w:rPr>
            </w:r>
          </w:p>
          <w:p w:rsidR="00000000" w:rsidDel="00000000" w:rsidP="00000000" w:rsidRDefault="00000000" w:rsidRPr="00000000" w14:paraId="000001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tl w:val="0"/>
              </w:rPr>
            </w:r>
          </w:p>
        </w:tc>
      </w:tr>
    </w:tbl>
    <w:p w:rsidR="00000000" w:rsidDel="00000000" w:rsidP="00000000" w:rsidRDefault="00000000" w:rsidRPr="00000000" w14:paraId="0000015B">
      <w:pPr>
        <w:spacing w:line="240" w:lineRule="auto"/>
        <w:rPr>
          <w:rFonts w:ascii="Times New Roman" w:cs="Times New Roman" w:eastAsia="Times New Roman" w:hAnsi="Times New Roman"/>
          <w:b w:val="1"/>
          <w:sz w:val="24"/>
          <w:szCs w:val="24"/>
        </w:rPr>
      </w:pPr>
      <w:r w:rsidDel="00000000" w:rsidR="00000000" w:rsidRPr="00000000">
        <w:rPr>
          <w:rtl w:val="0"/>
        </w:rPr>
      </w:r>
    </w:p>
    <w:sectPr>
      <w:type w:val="continuous"/>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D">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0">
    <w:pPr>
      <w:jc w:val="right"/>
      <w:rPr/>
    </w:pPr>
    <w:r w:rsidDel="00000000" w:rsidR="00000000" w:rsidRPr="00000000">
      <w:rPr>
        <w:rFonts w:ascii="Times New Roman" w:cs="Times New Roman" w:eastAsia="Times New Roman" w:hAnsi="Times New Roman"/>
        <w:sz w:val="24"/>
        <w:szCs w:val="24"/>
        <w:rtl w:val="0"/>
      </w:rPr>
      <w:t xml:space="preserve">SS.912.CG.3.11 -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360" w:hanging="360"/>
      </w:pPr>
      <w:rPr/>
    </w:lvl>
    <w:lvl w:ilvl="1">
      <w:start w:val="1"/>
      <w:numFmt w:val="bullet"/>
      <w:lvlText w:val="■"/>
      <w:lvlJc w:val="left"/>
      <w:pPr>
        <w:ind w:left="1080" w:hanging="360"/>
      </w:pPr>
      <w:rPr>
        <w:rFonts w:ascii="Noto Sans Symbols" w:cs="Noto Sans Symbols" w:eastAsia="Noto Sans Symbols" w:hAnsi="Noto Sans Symbols"/>
        <w:sz w:val="20"/>
        <w:szCs w:val="20"/>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uscourts.gov/about-federal-courts/educational-resources" TargetMode="External"/><Relationship Id="rId10" Type="http://schemas.openxmlformats.org/officeDocument/2006/relationships/hyperlink" Target="https://www.fldoe.org/accountability/assessments/k-12-student-assessment/fcle.stml" TargetMode="External"/><Relationship Id="rId13" Type="http://schemas.openxmlformats.org/officeDocument/2006/relationships/hyperlink" Target="https://landmarkcases.org/landmark-cases/" TargetMode="External"/><Relationship Id="rId12" Type="http://schemas.openxmlformats.org/officeDocument/2006/relationships/hyperlink" Target="https://www.oyez.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4" Type="http://schemas.openxmlformats.org/officeDocument/2006/relationships/hyperlink" Target="https://www.archives.gov/founding-docs/constitution-transcript"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