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Directions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Fill in the missing words</w:t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70"/>
        <w:gridCol w:w="5730"/>
        <w:tblGridChange w:id="0">
          <w:tblGrid>
            <w:gridCol w:w="5070"/>
            <w:gridCol w:w="57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economics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study of the production, distribution, and consumption of goods and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consumer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 person who buys a good or service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producer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 person who creates and supplies goods or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goods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tangible items that consumers may purchase (pens, apples, books)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services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intangible items that consumers may purchase (haircuts, dental services babysitting)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capital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anything that enables us to produce goods and services; common examples are tools, factories, materials, knowledge, and money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factors of production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resources needed to produce a good or service including land, labor, capital, and entrepreneurship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demand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amount consumers want to buy; together with supply will impact price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highlight w:val="white"/>
                <w:rtl w:val="0"/>
              </w:rPr>
              <w:t xml:space="preserve">supply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amount that is produced; together with demand will impact price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economic system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method used by a society or government to organize production and distribute resources, goods and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economic freedom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ability of citizens in a society to make economic choices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economic indicators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data used to help measure the health of the economy; common examples include GDP, PPP, HDI, employment numbers, inflation, home sales etc.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standard of living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how well people live in a town, region, or country in terms of income and wealth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  <w:rtl w:val="0"/>
              </w:rPr>
              <w:t xml:space="preserve">prosperity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successful, flourishing, or thriving</w:t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81799" cy="49661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1799" cy="496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81799" cy="4966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1799" cy="496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jc w:val="center"/>
      <w:rPr>
        <w:rFonts w:ascii="Times New Roman" w:cs="Times New Roman" w:eastAsia="Times New Roman" w:hAnsi="Times New Roman"/>
        <w:b w:val="1"/>
        <w:sz w:val="36"/>
        <w:szCs w:val="3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36"/>
        <w:szCs w:val="36"/>
        <w:rtl w:val="0"/>
      </w:rPr>
      <w:t xml:space="preserve">Sample Answers </w:t>
    </w:r>
    <w:r w:rsidDel="00000000" w:rsidR="00000000" w:rsidRPr="00000000">
      <w:rPr>
        <w:rFonts w:ascii="Times New Roman" w:cs="Times New Roman" w:eastAsia="Times New Roman" w:hAnsi="Times New Roman"/>
        <w:b w:val="1"/>
        <w:sz w:val="36"/>
        <w:szCs w:val="36"/>
        <w:rtl w:val="0"/>
      </w:rPr>
      <w:t xml:space="preserve">Economics Definitions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