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u w:val="single"/>
          <w:rtl w:val="0"/>
        </w:rPr>
        <w:t xml:space="preserve">SAMPLE ANSWERS: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The American Promise Viewing Guide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video to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 are the individuals in the video?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what’s happening in the video and what is being discussed.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  <w:rtl w:val="0"/>
              </w:rPr>
              <w:t xml:space="preserve">President Lyndon Johnson, Congress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  <w:rtl w:val="0"/>
              </w:rPr>
              <w:t xml:space="preserve">President Johnson is giving an address to a Joint Session of Congress imploring them to pass the Voting Rights Act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did this event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are the events in the video happening?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  <w:rtl w:val="0"/>
              </w:rPr>
              <w:t xml:space="preserve">March 15, 1965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  <w:rtl w:val="0"/>
              </w:rPr>
              <w:t xml:space="preserve">Many barriers (i.e. poll taxes, literacy tests) still existed that prevented minority groups such as African Americans and Native Americans from exercising their right to vote.</w:t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SIGNIFICANCE?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How does President Johnson’s request align with the foundational principles of the United States?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  <w:rtl w:val="0"/>
              </w:rPr>
              <w:t xml:space="preserve">Answers may vary but should reference things such as: equality of mankind, liberties and rights to all, consent of the governed/popular sovereignty, “secure for themselves the full blessings of American life”, etc.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19163" cy="36617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9163" cy="366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