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widowControl w:val="0"/>
        <w:tabs>
          <w:tab w:val="left" w:leader="none" w:pos="0"/>
          <w:tab w:val="left" w:leader="none" w:pos="220"/>
        </w:tabs>
        <w:spacing w:line="240" w:lineRule="auto"/>
        <w:ind w:left="0" w:firstLine="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8"/>
          <w:szCs w:val="28"/>
          <w:rtl w:val="0"/>
        </w:rPr>
        <w:t xml:space="preserve">SAMPLE ANSWERS: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Uniform Ballot Structure Video Viewing Guide</w:t>
      </w:r>
    </w:p>
    <w:p w:rsidR="00000000" w:rsidDel="00000000" w:rsidP="00000000" w:rsidRDefault="00000000" w:rsidRPr="00000000" w14:paraId="00000002">
      <w:pPr>
        <w:widowControl w:val="0"/>
        <w:tabs>
          <w:tab w:val="left" w:leader="none" w:pos="0"/>
          <w:tab w:val="left" w:leader="none" w:pos="220"/>
        </w:tabs>
        <w:spacing w:line="240" w:lineRule="auto"/>
        <w:ind w:left="0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Directions: While watching the Uniform Ballot Structure video, compile a list of 10 facts about Florida’s uniform ballot structure and the process of participating in Florida elections.</w:t>
      </w:r>
    </w:p>
    <w:p w:rsidR="00000000" w:rsidDel="00000000" w:rsidP="00000000" w:rsidRDefault="00000000" w:rsidRPr="00000000" w14:paraId="00000003">
      <w:pPr>
        <w:widowControl w:val="0"/>
        <w:tabs>
          <w:tab w:val="left" w:leader="none" w:pos="0"/>
          <w:tab w:val="left" w:leader="none" w:pos="220"/>
        </w:tabs>
        <w:spacing w:line="240" w:lineRule="auto"/>
        <w:ind w:left="0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tabs>
          <w:tab w:val="left" w:leader="none" w:pos="0"/>
          <w:tab w:val="left" w:leader="none" w:pos="220"/>
        </w:tabs>
        <w:spacing w:line="240" w:lineRule="auto"/>
        <w:ind w:left="0" w:firstLine="0"/>
        <w:rPr>
          <w:rFonts w:ascii="Times New Roman" w:cs="Times New Roman" w:eastAsia="Times New Roman" w:hAnsi="Times New Roman"/>
          <w:color w:val="ff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ff0000"/>
          <w:rtl w:val="0"/>
        </w:rPr>
        <w:t xml:space="preserve">These are just a few examples of what knowledge could be gathered through the video. </w:t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00"/>
        <w:gridCol w:w="8760"/>
        <w:tblGridChange w:id="0">
          <w:tblGrid>
            <w:gridCol w:w="600"/>
            <w:gridCol w:w="8760"/>
          </w:tblGrid>
        </w:tblGridChange>
      </w:tblGrid>
      <w:tr>
        <w:trPr>
          <w:cantSplit w:val="0"/>
          <w:trHeight w:val="807.978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In order to vote in FL, must be 18 years old, a resident of FL, and a U.S. Citizen</w:t>
            </w:r>
          </w:p>
        </w:tc>
      </w:tr>
      <w:tr>
        <w:trPr>
          <w:cantSplit w:val="0"/>
          <w:trHeight w:val="822.978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2.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Can lose voting rights if they’re a convicted felon or declared mentally incompetent by a court</w:t>
            </w:r>
          </w:p>
        </w:tc>
      </w:tr>
      <w:tr>
        <w:trPr>
          <w:cantSplit w:val="0"/>
          <w:trHeight w:val="852.978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3.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Two types of elections: Primary and General</w:t>
            </w:r>
          </w:p>
        </w:tc>
      </w:tr>
      <w:tr>
        <w:trPr>
          <w:cantSplit w:val="0"/>
          <w:trHeight w:val="852.978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4.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Primary: candidate seeks political party nomination for office </w:t>
            </w:r>
          </w:p>
        </w:tc>
      </w:tr>
      <w:tr>
        <w:trPr>
          <w:cantSplit w:val="0"/>
          <w:trHeight w:val="90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5.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All ballots are in English first and then Spanish</w:t>
            </w:r>
          </w:p>
        </w:tc>
      </w:tr>
      <w:tr>
        <w:trPr>
          <w:cantSplit w:val="0"/>
          <w:trHeight w:val="912.978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6.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A closed primary system means only members of that party can vote in primary elections</w:t>
            </w:r>
          </w:p>
        </w:tc>
      </w:tr>
      <w:tr>
        <w:trPr>
          <w:cantSplit w:val="0"/>
          <w:trHeight w:val="852.978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7.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All election ballots in FL look the same (same ballot in each county)</w:t>
            </w:r>
          </w:p>
        </w:tc>
      </w:tr>
      <w:tr>
        <w:trPr>
          <w:cantSplit w:val="0"/>
          <w:trHeight w:val="85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8.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Run-off elections may occur if a candidate doesn’t receive 51% (majority) of the votes</w:t>
            </w:r>
          </w:p>
        </w:tc>
      </w:tr>
      <w:tr>
        <w:trPr>
          <w:cantSplit w:val="0"/>
          <w:trHeight w:val="786.2068965517243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9.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Public measures can also be on a ballot for registered voters to vote on</w:t>
            </w:r>
          </w:p>
        </w:tc>
      </w:tr>
      <w:tr>
        <w:trPr>
          <w:cantSplit w:val="0"/>
          <w:trHeight w:val="8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10.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Two different ballots for primary and general elections</w:t>
            </w:r>
          </w:p>
        </w:tc>
      </w:tr>
    </w:tbl>
    <w:p w:rsidR="00000000" w:rsidDel="00000000" w:rsidP="00000000" w:rsidRDefault="00000000" w:rsidRPr="00000000" w14:paraId="00000019">
      <w:pPr>
        <w:widowControl w:val="0"/>
        <w:tabs>
          <w:tab w:val="left" w:leader="none" w:pos="0"/>
          <w:tab w:val="left" w:leader="none" w:pos="220"/>
        </w:tabs>
        <w:spacing w:line="240" w:lineRule="auto"/>
        <w:ind w:left="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jc w:val="right"/>
      <w:rPr/>
    </w:pPr>
    <w:r w:rsidDel="00000000" w:rsidR="00000000" w:rsidRPr="00000000">
      <w:rPr/>
      <w:drawing>
        <wp:inline distB="19050" distT="19050" distL="19050" distR="19050">
          <wp:extent cx="885825" cy="352425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85825" cy="35242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