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pPr>
      <w:r w:rsidDel="00000000" w:rsidR="00000000" w:rsidRPr="00000000">
        <w:rPr>
          <w:rFonts w:ascii="Times New Roman" w:cs="Times New Roman" w:eastAsia="Times New Roman" w:hAnsi="Times New Roman"/>
          <w:b w:val="1"/>
          <w:color w:val="ff0000"/>
          <w:sz w:val="24"/>
          <w:szCs w:val="24"/>
          <w:rtl w:val="0"/>
        </w:rPr>
        <w:t xml:space="preserve">Below is just </w:t>
      </w:r>
      <w:r w:rsidDel="00000000" w:rsidR="00000000" w:rsidRPr="00000000">
        <w:rPr>
          <w:rFonts w:ascii="Times New Roman" w:cs="Times New Roman" w:eastAsia="Times New Roman" w:hAnsi="Times New Roman"/>
          <w:b w:val="1"/>
          <w:color w:val="ff0000"/>
          <w:sz w:val="24"/>
          <w:szCs w:val="24"/>
          <w:u w:val="single"/>
          <w:rtl w:val="0"/>
        </w:rPr>
        <w:t xml:space="preserve">ONE </w:t>
      </w:r>
      <w:r w:rsidDel="00000000" w:rsidR="00000000" w:rsidRPr="00000000">
        <w:rPr>
          <w:rFonts w:ascii="Times New Roman" w:cs="Times New Roman" w:eastAsia="Times New Roman" w:hAnsi="Times New Roman"/>
          <w:b w:val="1"/>
          <w:color w:val="ff0000"/>
          <w:sz w:val="24"/>
          <w:szCs w:val="24"/>
          <w:rtl w:val="0"/>
        </w:rPr>
        <w:t xml:space="preserve">example of possible answers. H</w:t>
      </w:r>
      <w:r w:rsidDel="00000000" w:rsidR="00000000" w:rsidRPr="00000000">
        <w:rPr>
          <w:rFonts w:ascii="Times New Roman" w:cs="Times New Roman" w:eastAsia="Times New Roman" w:hAnsi="Times New Roman"/>
          <w:b w:val="1"/>
          <w:color w:val="ff0000"/>
          <w:sz w:val="24"/>
          <w:szCs w:val="24"/>
          <w:rtl w:val="0"/>
        </w:rPr>
        <w:t xml:space="preserve">owever, </w:t>
      </w:r>
      <w:r w:rsidDel="00000000" w:rsidR="00000000" w:rsidRPr="00000000">
        <w:rPr>
          <w:rFonts w:ascii="Times New Roman" w:cs="Times New Roman" w:eastAsia="Times New Roman" w:hAnsi="Times New Roman"/>
          <w:b w:val="1"/>
          <w:color w:val="ff0000"/>
          <w:sz w:val="24"/>
          <w:szCs w:val="24"/>
          <w:u w:val="single"/>
          <w:rtl w:val="0"/>
        </w:rPr>
        <w:t xml:space="preserve">multiple answers</w:t>
      </w:r>
      <w:r w:rsidDel="00000000" w:rsidR="00000000" w:rsidRPr="00000000">
        <w:rPr>
          <w:rFonts w:ascii="Times New Roman" w:cs="Times New Roman" w:eastAsia="Times New Roman" w:hAnsi="Times New Roman"/>
          <w:b w:val="1"/>
          <w:color w:val="ff0000"/>
          <w:sz w:val="24"/>
          <w:szCs w:val="24"/>
          <w:rtl w:val="0"/>
        </w:rPr>
        <w:t xml:space="preserve"> could work as long as the answer is supported with evidence from the text.</w:t>
      </w:r>
      <w:r w:rsidDel="00000000" w:rsidR="00000000" w:rsidRPr="00000000">
        <w:rPr>
          <w:rtl w:val="0"/>
        </w:rPr>
      </w:r>
    </w:p>
    <w:tbl>
      <w:tblPr>
        <w:tblStyle w:val="Table1"/>
        <w:tblW w:w="14160.0" w:type="dxa"/>
        <w:jc w:val="left"/>
        <w:tblInd w:w="-51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090"/>
        <w:gridCol w:w="3630"/>
        <w:gridCol w:w="7440"/>
        <w:tblGridChange w:id="0">
          <w:tblGrid>
            <w:gridCol w:w="3090"/>
            <w:gridCol w:w="3630"/>
            <w:gridCol w:w="744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rPr>
            </w:pPr>
            <w:r w:rsidDel="00000000" w:rsidR="00000000" w:rsidRPr="00000000">
              <w:rPr>
                <w:b w:val="1"/>
                <w:rtl w:val="0"/>
              </w:rPr>
              <w:t xml:space="preserve">Document: </w:t>
            </w:r>
          </w:p>
        </w:tc>
        <w:tc>
          <w:tcPr>
            <w:shd w:fill="auto" w:val="clear"/>
            <w:tcMar>
              <w:top w:w="100.0" w:type="dxa"/>
              <w:left w:w="100.0" w:type="dxa"/>
              <w:bottom w:w="100.0" w:type="dxa"/>
              <w:right w:w="100.0" w:type="dxa"/>
            </w:tcMar>
            <w:vAlign w:val="top"/>
          </w:tcPr>
          <w:p w:rsidR="00000000" w:rsidDel="00000000" w:rsidP="00000000" w:rsidRDefault="00000000" w:rsidRPr="00000000" w14:paraId="00000003">
            <w:pPr>
              <w:widowControl w:val="0"/>
              <w:spacing w:line="240" w:lineRule="auto"/>
              <w:jc w:val="center"/>
              <w:rPr>
                <w:b w:val="1"/>
              </w:rPr>
            </w:pPr>
            <w:r w:rsidDel="00000000" w:rsidR="00000000" w:rsidRPr="00000000">
              <w:rPr>
                <w:b w:val="1"/>
                <w:rtl w:val="0"/>
              </w:rPr>
              <w:t xml:space="preserve">Preamble Principle Connection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04">
            <w:pPr>
              <w:widowControl w:val="0"/>
              <w:spacing w:line="240" w:lineRule="auto"/>
              <w:jc w:val="center"/>
              <w:rPr>
                <w:b w:val="1"/>
              </w:rPr>
            </w:pPr>
            <w:r w:rsidDel="00000000" w:rsidR="00000000" w:rsidRPr="00000000">
              <w:rPr>
                <w:b w:val="1"/>
                <w:rtl w:val="0"/>
              </w:rPr>
              <w:t xml:space="preserve">Explanation</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rtl w:val="0"/>
              </w:rPr>
            </w:r>
          </w:p>
          <w:p w:rsidR="00000000" w:rsidDel="00000000" w:rsidP="00000000" w:rsidRDefault="00000000" w:rsidRPr="00000000" w14:paraId="000000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The Declaration of Independence </w:t>
            </w:r>
          </w:p>
          <w:p w:rsidR="00000000" w:rsidDel="00000000" w:rsidP="00000000" w:rsidRDefault="00000000" w:rsidRPr="00000000" w14:paraId="000000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rtl w:val="0"/>
              </w:rPr>
            </w:r>
          </w:p>
          <w:p w:rsidR="00000000" w:rsidDel="00000000" w:rsidP="00000000" w:rsidRDefault="00000000" w:rsidRPr="00000000" w14:paraId="000000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color w:val="ff0000"/>
                <w:sz w:val="20"/>
                <w:szCs w:val="20"/>
              </w:rPr>
            </w:pPr>
            <w:r w:rsidDel="00000000" w:rsidR="00000000" w:rsidRPr="00000000">
              <w:rPr>
                <w:sz w:val="20"/>
                <w:szCs w:val="20"/>
                <w:u w:val="single"/>
                <w:rtl w:val="0"/>
              </w:rPr>
              <w:t xml:space="preserve">Year: </w:t>
            </w:r>
            <w:r w:rsidDel="00000000" w:rsidR="00000000" w:rsidRPr="00000000">
              <w:rPr>
                <w:color w:val="ff0000"/>
                <w:sz w:val="20"/>
                <w:szCs w:val="20"/>
                <w:rtl w:val="0"/>
              </w:rPr>
              <w:t xml:space="preserve">1776</w:t>
            </w:r>
          </w:p>
          <w:p w:rsidR="00000000" w:rsidDel="00000000" w:rsidP="00000000" w:rsidRDefault="00000000" w:rsidRPr="00000000" w14:paraId="000000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0"/>
                <w:szCs w:val="20"/>
                <w:u w:val="single"/>
              </w:rPr>
            </w:pPr>
            <w:r w:rsidDel="00000000" w:rsidR="00000000" w:rsidRPr="00000000">
              <w:rPr>
                <w:rtl w:val="0"/>
              </w:rPr>
            </w:r>
          </w:p>
          <w:p w:rsidR="00000000" w:rsidDel="00000000" w:rsidP="00000000" w:rsidRDefault="00000000" w:rsidRPr="00000000" w14:paraId="0000000A">
            <w:pPr>
              <w:widowControl w:val="0"/>
              <w:spacing w:line="240" w:lineRule="auto"/>
              <w:jc w:val="left"/>
              <w:rPr>
                <w:color w:val="ff0000"/>
                <w:sz w:val="20"/>
                <w:szCs w:val="20"/>
              </w:rPr>
            </w:pPr>
            <w:r w:rsidDel="00000000" w:rsidR="00000000" w:rsidRPr="00000000">
              <w:rPr>
                <w:sz w:val="20"/>
                <w:szCs w:val="20"/>
                <w:u w:val="single"/>
                <w:rtl w:val="0"/>
              </w:rPr>
              <w:t xml:space="preserve">Key People: </w:t>
            </w:r>
            <w:r w:rsidDel="00000000" w:rsidR="00000000" w:rsidRPr="00000000">
              <w:rPr>
                <w:color w:val="ff0000"/>
                <w:sz w:val="20"/>
                <w:szCs w:val="20"/>
                <w:rtl w:val="0"/>
              </w:rPr>
              <w:t xml:space="preserve">Thomas Jefferson</w:t>
            </w:r>
          </w:p>
          <w:p w:rsidR="00000000" w:rsidDel="00000000" w:rsidP="00000000" w:rsidRDefault="00000000" w:rsidRPr="00000000" w14:paraId="000000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rtl w:val="0"/>
              </w:rPr>
            </w:r>
          </w:p>
          <w:p w:rsidR="00000000" w:rsidDel="00000000" w:rsidP="00000000" w:rsidRDefault="00000000" w:rsidRPr="00000000" w14:paraId="000000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color w:val="ff0000"/>
              </w:rPr>
            </w:pPr>
            <w:r w:rsidDel="00000000" w:rsidR="00000000" w:rsidRPr="00000000">
              <w:rPr>
                <w:color w:val="ff0000"/>
                <w:rtl w:val="0"/>
              </w:rPr>
              <w:t xml:space="preserve">We the People</w:t>
            </w:r>
          </w:p>
        </w:tc>
        <w:tc>
          <w:tcPr>
            <w:shd w:fill="auto" w:val="clear"/>
            <w:tcMar>
              <w:top w:w="100.0" w:type="dxa"/>
              <w:left w:w="100.0" w:type="dxa"/>
              <w:bottom w:w="100.0" w:type="dxa"/>
              <w:right w:w="100.0" w:type="dxa"/>
            </w:tcMar>
            <w:vAlign w:val="top"/>
          </w:tcPr>
          <w:p w:rsidR="00000000" w:rsidDel="00000000" w:rsidP="00000000" w:rsidRDefault="00000000" w:rsidRPr="00000000" w14:paraId="0000000E">
            <w:pPr>
              <w:shd w:fill="ffffff" w:val="clear"/>
              <w:rPr>
                <w:rFonts w:ascii="Times New Roman" w:cs="Times New Roman" w:eastAsia="Times New Roman" w:hAnsi="Times New Roman"/>
                <w:color w:val="ff0000"/>
                <w:sz w:val="24"/>
                <w:szCs w:val="24"/>
              </w:rPr>
            </w:pPr>
            <w:r w:rsidDel="00000000" w:rsidR="00000000" w:rsidRPr="00000000">
              <w:rPr>
                <w:rFonts w:ascii="Times New Roman" w:cs="Times New Roman" w:eastAsia="Times New Roman" w:hAnsi="Times New Roman"/>
                <w:color w:val="ff0000"/>
                <w:sz w:val="24"/>
                <w:szCs w:val="24"/>
                <w:rtl w:val="0"/>
              </w:rPr>
              <w:t xml:space="preserve">“Governments are instituted among Men, deriving their just powers from the consent of the governed, --That whenever any Form of Government becomes destructive of these ends, it is the Right of the People to alter or to abolish it”</w:t>
            </w:r>
          </w:p>
          <w:p w:rsidR="00000000" w:rsidDel="00000000" w:rsidP="00000000" w:rsidRDefault="00000000" w:rsidRPr="00000000" w14:paraId="0000000F">
            <w:pPr>
              <w:shd w:fill="ffffff" w:val="clear"/>
              <w:rPr>
                <w:rFonts w:ascii="Times New Roman" w:cs="Times New Roman" w:eastAsia="Times New Roman" w:hAnsi="Times New Roman"/>
                <w:color w:val="ff0000"/>
                <w:sz w:val="24"/>
                <w:szCs w:val="24"/>
              </w:rPr>
            </w:pPr>
            <w:r w:rsidDel="00000000" w:rsidR="00000000" w:rsidRPr="00000000">
              <w:rPr>
                <w:rFonts w:ascii="Times New Roman" w:cs="Times New Roman" w:eastAsia="Times New Roman" w:hAnsi="Times New Roman"/>
                <w:color w:val="ff0000"/>
                <w:sz w:val="24"/>
                <w:szCs w:val="24"/>
                <w:rtl w:val="0"/>
              </w:rPr>
              <w:t xml:space="preserve">Reinforces the idea that the government’s power comes from the people.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0">
            <w:pPr>
              <w:widowControl w:val="0"/>
              <w:spacing w:line="240" w:lineRule="auto"/>
              <w:rPr>
                <w:b w:val="1"/>
              </w:rPr>
            </w:pPr>
            <w:r w:rsidDel="00000000" w:rsidR="00000000" w:rsidRPr="00000000">
              <w:rPr>
                <w:rtl w:val="0"/>
              </w:rPr>
            </w:r>
          </w:p>
          <w:p w:rsidR="00000000" w:rsidDel="00000000" w:rsidP="00000000" w:rsidRDefault="00000000" w:rsidRPr="00000000" w14:paraId="00000011">
            <w:pPr>
              <w:widowControl w:val="0"/>
              <w:spacing w:line="240" w:lineRule="auto"/>
              <w:rPr>
                <w:b w:val="1"/>
              </w:rPr>
            </w:pPr>
            <w:r w:rsidDel="00000000" w:rsidR="00000000" w:rsidRPr="00000000">
              <w:rPr>
                <w:b w:val="1"/>
                <w:rtl w:val="0"/>
              </w:rPr>
              <w:t xml:space="preserve">The Articles of Confederation</w:t>
            </w:r>
          </w:p>
          <w:p w:rsidR="00000000" w:rsidDel="00000000" w:rsidP="00000000" w:rsidRDefault="00000000" w:rsidRPr="00000000" w14:paraId="00000012">
            <w:pPr>
              <w:widowControl w:val="0"/>
              <w:spacing w:line="240" w:lineRule="auto"/>
              <w:rPr>
                <w:b w:val="1"/>
              </w:rPr>
            </w:pPr>
            <w:r w:rsidDel="00000000" w:rsidR="00000000" w:rsidRPr="00000000">
              <w:rPr>
                <w:rtl w:val="0"/>
              </w:rPr>
            </w:r>
          </w:p>
          <w:p w:rsidR="00000000" w:rsidDel="00000000" w:rsidP="00000000" w:rsidRDefault="00000000" w:rsidRPr="00000000" w14:paraId="00000013">
            <w:pPr>
              <w:widowControl w:val="0"/>
              <w:spacing w:line="240" w:lineRule="auto"/>
              <w:rPr>
                <w:color w:val="ff0000"/>
                <w:sz w:val="20"/>
                <w:szCs w:val="20"/>
              </w:rPr>
            </w:pPr>
            <w:r w:rsidDel="00000000" w:rsidR="00000000" w:rsidRPr="00000000">
              <w:rPr>
                <w:sz w:val="20"/>
                <w:szCs w:val="20"/>
                <w:u w:val="single"/>
                <w:rtl w:val="0"/>
              </w:rPr>
              <w:t xml:space="preserve">Year: </w:t>
            </w:r>
            <w:r w:rsidDel="00000000" w:rsidR="00000000" w:rsidRPr="00000000">
              <w:rPr>
                <w:color w:val="ff0000"/>
                <w:sz w:val="20"/>
                <w:szCs w:val="20"/>
                <w:rtl w:val="0"/>
              </w:rPr>
              <w:t xml:space="preserve">1777</w:t>
            </w:r>
          </w:p>
          <w:p w:rsidR="00000000" w:rsidDel="00000000" w:rsidP="00000000" w:rsidRDefault="00000000" w:rsidRPr="00000000" w14:paraId="00000014">
            <w:pPr>
              <w:widowControl w:val="0"/>
              <w:spacing w:line="240" w:lineRule="auto"/>
              <w:rPr>
                <w:sz w:val="20"/>
                <w:szCs w:val="20"/>
                <w:u w:val="single"/>
              </w:rPr>
            </w:pPr>
            <w:r w:rsidDel="00000000" w:rsidR="00000000" w:rsidRPr="00000000">
              <w:rPr>
                <w:rtl w:val="0"/>
              </w:rPr>
            </w:r>
          </w:p>
          <w:p w:rsidR="00000000" w:rsidDel="00000000" w:rsidP="00000000" w:rsidRDefault="00000000" w:rsidRPr="00000000" w14:paraId="00000015">
            <w:pPr>
              <w:widowControl w:val="0"/>
              <w:spacing w:line="240" w:lineRule="auto"/>
              <w:rPr>
                <w:color w:val="ff0000"/>
                <w:sz w:val="20"/>
                <w:szCs w:val="20"/>
              </w:rPr>
            </w:pPr>
            <w:r w:rsidDel="00000000" w:rsidR="00000000" w:rsidRPr="00000000">
              <w:rPr>
                <w:sz w:val="20"/>
                <w:szCs w:val="20"/>
                <w:u w:val="single"/>
                <w:rtl w:val="0"/>
              </w:rPr>
              <w:t xml:space="preserve">Key People: </w:t>
            </w:r>
            <w:r w:rsidDel="00000000" w:rsidR="00000000" w:rsidRPr="00000000">
              <w:rPr>
                <w:color w:val="ff0000"/>
                <w:sz w:val="20"/>
                <w:szCs w:val="20"/>
                <w:rtl w:val="0"/>
              </w:rPr>
              <w:t xml:space="preserve">John Dickinson </w:t>
            </w:r>
          </w:p>
          <w:p w:rsidR="00000000" w:rsidDel="00000000" w:rsidP="00000000" w:rsidRDefault="00000000" w:rsidRPr="00000000" w14:paraId="00000016">
            <w:pPr>
              <w:widowControl w:val="0"/>
              <w:spacing w:line="240" w:lineRule="auto"/>
              <w:rPr>
                <w:b w:val="1"/>
              </w:rPr>
            </w:pPr>
            <w:r w:rsidDel="00000000" w:rsidR="00000000" w:rsidRPr="00000000">
              <w:rPr>
                <w:rtl w:val="0"/>
              </w:rPr>
            </w:r>
          </w:p>
          <w:p w:rsidR="00000000" w:rsidDel="00000000" w:rsidP="00000000" w:rsidRDefault="00000000" w:rsidRPr="00000000" w14:paraId="000000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rtl w:val="0"/>
              </w:rPr>
            </w:r>
          </w:p>
          <w:p w:rsidR="00000000" w:rsidDel="00000000" w:rsidP="00000000" w:rsidRDefault="00000000" w:rsidRPr="00000000" w14:paraId="000000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color w:val="ff0000"/>
              </w:rPr>
            </w:pPr>
            <w:r w:rsidDel="00000000" w:rsidR="00000000" w:rsidRPr="00000000">
              <w:rPr>
                <w:color w:val="ff0000"/>
                <w:rtl w:val="0"/>
              </w:rPr>
              <w:t xml:space="preserve">Ensure Domestic Tranquility</w:t>
            </w:r>
          </w:p>
        </w:tc>
        <w:tc>
          <w:tcPr>
            <w:shd w:fill="auto" w:val="clear"/>
            <w:tcMar>
              <w:top w:w="100.0" w:type="dxa"/>
              <w:left w:w="100.0" w:type="dxa"/>
              <w:bottom w:w="100.0" w:type="dxa"/>
              <w:right w:w="100.0" w:type="dxa"/>
            </w:tcMar>
            <w:vAlign w:val="top"/>
          </w:tcPr>
          <w:p w:rsidR="00000000" w:rsidDel="00000000" w:rsidP="00000000" w:rsidRDefault="00000000" w:rsidRPr="00000000" w14:paraId="000000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color w:val="ff0000"/>
                <w:sz w:val="24"/>
                <w:szCs w:val="24"/>
              </w:rPr>
            </w:pPr>
            <w:r w:rsidDel="00000000" w:rsidR="00000000" w:rsidRPr="00000000">
              <w:rPr>
                <w:color w:val="ff0000"/>
                <w:rtl w:val="0"/>
              </w:rPr>
              <w:t xml:space="preserve">Article IV: “</w:t>
            </w:r>
            <w:r w:rsidDel="00000000" w:rsidR="00000000" w:rsidRPr="00000000">
              <w:rPr>
                <w:rFonts w:ascii="Times New Roman" w:cs="Times New Roman" w:eastAsia="Times New Roman" w:hAnsi="Times New Roman"/>
                <w:color w:val="ff0000"/>
                <w:sz w:val="24"/>
                <w:szCs w:val="24"/>
                <w:rtl w:val="0"/>
              </w:rPr>
              <w:t xml:space="preserve">Full faith and credit shall be given in each of these states to the records, acts, and judicial proceedings of the courts and magistrates of every other state.”</w:t>
            </w:r>
          </w:p>
          <w:p w:rsidR="00000000" w:rsidDel="00000000" w:rsidP="00000000" w:rsidRDefault="00000000" w:rsidRPr="00000000" w14:paraId="000000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color w:val="ff0000"/>
                <w:sz w:val="24"/>
                <w:szCs w:val="24"/>
              </w:rPr>
            </w:pPr>
            <w:r w:rsidDel="00000000" w:rsidR="00000000" w:rsidRPr="00000000">
              <w:rPr>
                <w:rFonts w:ascii="Times New Roman" w:cs="Times New Roman" w:eastAsia="Times New Roman" w:hAnsi="Times New Roman"/>
                <w:color w:val="ff0000"/>
                <w:sz w:val="24"/>
                <w:szCs w:val="24"/>
                <w:rtl w:val="0"/>
              </w:rPr>
              <w:t xml:space="preserve">This was the country’s first attempt at establishing a government and served as an agreement among the states that they would work to avoid tyranny and promote union among the thirteen states. The states agreed to work together peacefully.</w:t>
            </w:r>
          </w:p>
        </w:tc>
      </w:tr>
      <w:tr>
        <w:trPr>
          <w:cantSplit w:val="0"/>
          <w:trHeight w:val="2430.7910156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C">
            <w:pPr>
              <w:widowControl w:val="0"/>
              <w:spacing w:line="240" w:lineRule="auto"/>
              <w:rPr>
                <w:b w:val="1"/>
              </w:rPr>
            </w:pPr>
            <w:r w:rsidDel="00000000" w:rsidR="00000000" w:rsidRPr="00000000">
              <w:rPr>
                <w:rtl w:val="0"/>
              </w:rPr>
            </w:r>
          </w:p>
          <w:p w:rsidR="00000000" w:rsidDel="00000000" w:rsidP="00000000" w:rsidRDefault="00000000" w:rsidRPr="00000000" w14:paraId="0000001D">
            <w:pPr>
              <w:widowControl w:val="0"/>
              <w:spacing w:line="240" w:lineRule="auto"/>
              <w:rPr>
                <w:b w:val="1"/>
              </w:rPr>
            </w:pPr>
            <w:r w:rsidDel="00000000" w:rsidR="00000000" w:rsidRPr="00000000">
              <w:rPr>
                <w:b w:val="1"/>
                <w:rtl w:val="0"/>
              </w:rPr>
              <w:t xml:space="preserve">Federalist Paper No. 39</w:t>
            </w:r>
          </w:p>
          <w:p w:rsidR="00000000" w:rsidDel="00000000" w:rsidP="00000000" w:rsidRDefault="00000000" w:rsidRPr="00000000" w14:paraId="0000001E">
            <w:pPr>
              <w:widowControl w:val="0"/>
              <w:spacing w:line="240" w:lineRule="auto"/>
              <w:rPr>
                <w:b w:val="1"/>
              </w:rPr>
            </w:pPr>
            <w:r w:rsidDel="00000000" w:rsidR="00000000" w:rsidRPr="00000000">
              <w:rPr>
                <w:rtl w:val="0"/>
              </w:rPr>
            </w:r>
          </w:p>
          <w:p w:rsidR="00000000" w:rsidDel="00000000" w:rsidP="00000000" w:rsidRDefault="00000000" w:rsidRPr="00000000" w14:paraId="0000001F">
            <w:pPr>
              <w:widowControl w:val="0"/>
              <w:spacing w:line="240" w:lineRule="auto"/>
              <w:rPr>
                <w:color w:val="ff0000"/>
                <w:sz w:val="20"/>
                <w:szCs w:val="20"/>
              </w:rPr>
            </w:pPr>
            <w:r w:rsidDel="00000000" w:rsidR="00000000" w:rsidRPr="00000000">
              <w:rPr>
                <w:sz w:val="20"/>
                <w:szCs w:val="20"/>
                <w:u w:val="single"/>
                <w:rtl w:val="0"/>
              </w:rPr>
              <w:t xml:space="preserve">Year: </w:t>
            </w:r>
            <w:r w:rsidDel="00000000" w:rsidR="00000000" w:rsidRPr="00000000">
              <w:rPr>
                <w:color w:val="ff0000"/>
                <w:sz w:val="20"/>
                <w:szCs w:val="20"/>
                <w:rtl w:val="0"/>
              </w:rPr>
              <w:t xml:space="preserve">1788</w:t>
            </w:r>
          </w:p>
          <w:p w:rsidR="00000000" w:rsidDel="00000000" w:rsidP="00000000" w:rsidRDefault="00000000" w:rsidRPr="00000000" w14:paraId="00000020">
            <w:pPr>
              <w:widowControl w:val="0"/>
              <w:spacing w:line="240" w:lineRule="auto"/>
              <w:rPr>
                <w:sz w:val="20"/>
                <w:szCs w:val="20"/>
                <w:u w:val="single"/>
              </w:rPr>
            </w:pPr>
            <w:r w:rsidDel="00000000" w:rsidR="00000000" w:rsidRPr="00000000">
              <w:rPr>
                <w:rtl w:val="0"/>
              </w:rPr>
            </w:r>
          </w:p>
          <w:p w:rsidR="00000000" w:rsidDel="00000000" w:rsidP="00000000" w:rsidRDefault="00000000" w:rsidRPr="00000000" w14:paraId="00000021">
            <w:pPr>
              <w:widowControl w:val="0"/>
              <w:spacing w:line="240" w:lineRule="auto"/>
              <w:rPr>
                <w:sz w:val="20"/>
                <w:szCs w:val="20"/>
                <w:u w:val="single"/>
              </w:rPr>
            </w:pPr>
            <w:r w:rsidDel="00000000" w:rsidR="00000000" w:rsidRPr="00000000">
              <w:rPr>
                <w:sz w:val="20"/>
                <w:szCs w:val="20"/>
                <w:u w:val="single"/>
                <w:rtl w:val="0"/>
              </w:rPr>
              <w:t xml:space="preserve">Key People: </w:t>
            </w:r>
            <w:r w:rsidDel="00000000" w:rsidR="00000000" w:rsidRPr="00000000">
              <w:rPr>
                <w:color w:val="ff0000"/>
                <w:sz w:val="20"/>
                <w:szCs w:val="20"/>
                <w:rtl w:val="0"/>
              </w:rPr>
              <w:t xml:space="preserve">James Madison</w:t>
            </w:r>
            <w:r w:rsidDel="00000000" w:rsidR="00000000" w:rsidRPr="00000000">
              <w:rPr>
                <w:rtl w:val="0"/>
              </w:rPr>
            </w:r>
          </w:p>
          <w:p w:rsidR="00000000" w:rsidDel="00000000" w:rsidP="00000000" w:rsidRDefault="00000000" w:rsidRPr="00000000" w14:paraId="00000022">
            <w:pPr>
              <w:widowControl w:val="0"/>
              <w:spacing w:line="240" w:lineRule="auto"/>
              <w:rPr>
                <w:b w:val="1"/>
              </w:rPr>
            </w:pPr>
            <w:r w:rsidDel="00000000" w:rsidR="00000000" w:rsidRPr="00000000">
              <w:rPr>
                <w:rtl w:val="0"/>
              </w:rPr>
            </w:r>
          </w:p>
          <w:p w:rsidR="00000000" w:rsidDel="00000000" w:rsidP="00000000" w:rsidRDefault="00000000" w:rsidRPr="00000000" w14:paraId="000000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rtl w:val="0"/>
              </w:rPr>
            </w:r>
          </w:p>
          <w:p w:rsidR="00000000" w:rsidDel="00000000" w:rsidP="00000000" w:rsidRDefault="00000000" w:rsidRPr="00000000" w14:paraId="000000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rtl w:val="0"/>
              </w:rPr>
            </w:r>
          </w:p>
          <w:p w:rsidR="00000000" w:rsidDel="00000000" w:rsidP="00000000" w:rsidRDefault="00000000" w:rsidRPr="00000000" w14:paraId="000000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color w:val="ff0000"/>
              </w:rPr>
            </w:pPr>
            <w:r w:rsidDel="00000000" w:rsidR="00000000" w:rsidRPr="00000000">
              <w:rPr>
                <w:color w:val="ff0000"/>
                <w:rtl w:val="0"/>
              </w:rPr>
              <w:t xml:space="preserve">Form a more perfect union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color w:val="ff0000"/>
                <w:sz w:val="24"/>
                <w:szCs w:val="24"/>
              </w:rPr>
            </w:pPr>
            <w:r w:rsidDel="00000000" w:rsidR="00000000" w:rsidRPr="00000000">
              <w:rPr>
                <w:color w:val="ff0000"/>
                <w:rtl w:val="0"/>
              </w:rPr>
              <w:t xml:space="preserve">“</w:t>
            </w:r>
            <w:r w:rsidDel="00000000" w:rsidR="00000000" w:rsidRPr="00000000">
              <w:rPr>
                <w:rFonts w:ascii="Times New Roman" w:cs="Times New Roman" w:eastAsia="Times New Roman" w:hAnsi="Times New Roman"/>
                <w:color w:val="ff0000"/>
                <w:sz w:val="24"/>
                <w:szCs w:val="24"/>
                <w:rtl w:val="0"/>
              </w:rPr>
              <w:t xml:space="preserve">Could any further proof be required of the republican complexion of this system, the most decisive one might be found in its absolute prohibition of titles of nobility, both under the federal and the State governments; and in its express guaranty of the republican form to each of the latter.”</w:t>
            </w:r>
          </w:p>
          <w:p w:rsidR="00000000" w:rsidDel="00000000" w:rsidP="00000000" w:rsidRDefault="00000000" w:rsidRPr="00000000" w14:paraId="000000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color w:val="ff0000"/>
                <w:sz w:val="24"/>
                <w:szCs w:val="24"/>
              </w:rPr>
            </w:pPr>
            <w:r w:rsidDel="00000000" w:rsidR="00000000" w:rsidRPr="00000000">
              <w:rPr>
                <w:rFonts w:ascii="Times New Roman" w:cs="Times New Roman" w:eastAsia="Times New Roman" w:hAnsi="Times New Roman"/>
                <w:color w:val="ff0000"/>
                <w:sz w:val="24"/>
                <w:szCs w:val="24"/>
                <w:rtl w:val="0"/>
              </w:rPr>
              <w:t xml:space="preserve">Reinforcing the need for a republic to work together for the American people. </w:t>
            </w:r>
          </w:p>
        </w:tc>
      </w:tr>
    </w:tbl>
    <w:p w:rsidR="00000000" w:rsidDel="00000000" w:rsidP="00000000" w:rsidRDefault="00000000" w:rsidRPr="00000000" w14:paraId="00000029">
      <w:pPr>
        <w:rPr>
          <w:rFonts w:ascii="Times New Roman" w:cs="Times New Roman" w:eastAsia="Times New Roman" w:hAnsi="Times New Roman"/>
          <w:b w:val="1"/>
          <w:i w:val="1"/>
          <w:sz w:val="24"/>
          <w:szCs w:val="24"/>
        </w:rPr>
      </w:pPr>
      <w:r w:rsidDel="00000000" w:rsidR="00000000" w:rsidRPr="00000000">
        <w:rPr>
          <w:rtl w:val="0"/>
        </w:rPr>
      </w:r>
    </w:p>
    <w:sectPr>
      <w:headerReference r:id="rId6" w:type="default"/>
      <w:footerReference r:id="rId7" w:type="default"/>
      <w:pgSz w:h="12240" w:w="15840" w:orient="landscape"/>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B">
    <w:pP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center"/>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7972425</wp:posOffset>
          </wp:positionH>
          <wp:positionV relativeFrom="paragraph">
            <wp:posOffset>-9524</wp:posOffset>
          </wp:positionV>
          <wp:extent cx="829854" cy="324222"/>
          <wp:effectExtent b="0" l="0" r="0" t="0"/>
          <wp:wrapSquare wrapText="bothSides" distB="114300" distT="114300" distL="114300" distR="11430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829854" cy="324222"/>
                  </a:xfrm>
                  <a:prstGeom prst="rect"/>
                  <a:ln/>
                </pic:spPr>
              </pic:pic>
            </a:graphicData>
          </a:graphic>
        </wp:anchor>
      </w:drawing>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A">
    <w:pPr>
      <w:spacing w:line="240" w:lineRule="auto"/>
      <w:jc w:val="center"/>
      <w:rPr>
        <w:b w:val="1"/>
        <w:sz w:val="28"/>
        <w:szCs w:val="28"/>
      </w:rPr>
    </w:pPr>
    <w:r w:rsidDel="00000000" w:rsidR="00000000" w:rsidRPr="00000000">
      <w:rPr>
        <w:b w:val="1"/>
        <w:color w:val="ff0000"/>
        <w:sz w:val="28"/>
        <w:szCs w:val="28"/>
        <w:rtl w:val="0"/>
      </w:rPr>
      <w:t xml:space="preserve">SAMPLE ANSWERS </w:t>
    </w:r>
    <w:r w:rsidDel="00000000" w:rsidR="00000000" w:rsidRPr="00000000">
      <w:rPr>
        <w:b w:val="1"/>
        <w:sz w:val="28"/>
        <w:szCs w:val="28"/>
        <w:rtl w:val="0"/>
      </w:rPr>
      <w:t xml:space="preserve">Preamble Principles in the Founding Documents Graphic Organizer</w: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