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Citizenship and the 14th Amendment</w:t>
      </w:r>
    </w:p>
    <w:tbl>
      <w:tblPr>
        <w:tblStyle w:val="Table1"/>
        <w:tblW w:w="9352.999572753906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52.999572753906"/>
        <w:tblGridChange w:id="0">
          <w:tblGrid>
            <w:gridCol w:w="9352.999572753906"/>
          </w:tblGrid>
        </w:tblGridChange>
      </w:tblGrid>
      <w:tr>
        <w:trPr>
          <w:cantSplit w:val="0"/>
          <w:trHeight w:val="3281.40014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.30014038085938" w:right="0" w:firstLine="0"/>
              <w:jc w:val="left"/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Quick Write: Summarize what</w:t>
            </w: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rtl w:val="0"/>
              </w:rPr>
              <w:t xml:space="preserve"> you remember about the </w:t>
            </w: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Dred Scott v. Sandford (1857) </w:t>
            </w: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Supreme Court case</w:t>
            </w: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rtl w:val="0"/>
              </w:rPr>
              <w:t xml:space="preserve"> and decision.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0"/>
          <w:szCs w:val="100"/>
          <w:u w:val="none"/>
          <w:shd w:fill="auto" w:val="clear"/>
          <w:vertAlign w:val="baseline"/>
        </w:rPr>
      </w:pPr>
      <w:r w:rsidDel="00000000" w:rsidR="00000000" w:rsidRPr="00000000">
        <w:rPr>
          <w:rFonts w:ascii="Cardo" w:cs="Cardo" w:eastAsia="Cardo" w:hAnsi="Cardo"/>
          <w:sz w:val="100"/>
          <w:szCs w:val="100"/>
          <w:rtl w:val="0"/>
        </w:rPr>
        <w:t xml:space="preserve">⟱</w:t>
      </w:r>
      <w:r w:rsidDel="00000000" w:rsidR="00000000" w:rsidRPr="00000000">
        <w:rPr>
          <w:rtl w:val="0"/>
        </w:rPr>
      </w:r>
    </w:p>
    <w:tbl>
      <w:tblPr>
        <w:tblStyle w:val="Table2"/>
        <w:tblW w:w="9352.999572753906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52.999572753906"/>
        <w:tblGridChange w:id="0">
          <w:tblGrid>
            <w:gridCol w:w="9352.999572753906"/>
          </w:tblGrid>
        </w:tblGridChange>
      </w:tblGrid>
      <w:tr>
        <w:trPr>
          <w:cantSplit w:val="0"/>
          <w:trHeight w:val="3041.40014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4.70016479492188" w:right="0" w:firstLine="0"/>
              <w:jc w:val="left"/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What did the </w:t>
            </w: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Dred Scott </w:t>
            </w: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decision say about who could be a citizen and who was excluded? </w:t>
            </w:r>
          </w:p>
        </w:tc>
      </w:tr>
    </w:tbl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rdo" w:cs="Cardo" w:eastAsia="Cardo" w:hAnsi="Cardo"/>
          <w:sz w:val="100"/>
          <w:szCs w:val="100"/>
          <w:rtl w:val="0"/>
        </w:rPr>
        <w:t xml:space="preserve">⟱</w:t>
      </w:r>
      <w:r w:rsidDel="00000000" w:rsidR="00000000" w:rsidRPr="00000000">
        <w:rPr>
          <w:rtl w:val="0"/>
        </w:rPr>
      </w:r>
    </w:p>
    <w:tbl>
      <w:tblPr>
        <w:tblStyle w:val="Table3"/>
        <w:tblW w:w="9352.999572753906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52.999572753906"/>
        <w:tblGridChange w:id="0">
          <w:tblGrid>
            <w:gridCol w:w="9352.999572753906"/>
          </w:tblGrid>
        </w:tblGridChange>
      </w:tblGrid>
      <w:tr>
        <w:trPr>
          <w:cantSplit w:val="0"/>
          <w:trHeight w:val="3281.40014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3.900146484375" w:right="0" w:firstLine="0"/>
              <w:jc w:val="left"/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How did the 14th Amendment (1868) change the definition of citizenship? </w:t>
            </w:r>
          </w:p>
        </w:tc>
      </w:tr>
    </w:tbl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6246177</wp:posOffset>
            </wp:positionH>
            <wp:positionV relativeFrom="page">
              <wp:posOffset>9154134</wp:posOffset>
            </wp:positionV>
            <wp:extent cx="1097280" cy="437197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43719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842.099609375" w:top="720.95947265625" w:left="1436.4999389648438" w:right="1450.500488281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rd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  <w:font w:name="Helvetica Neue">
    <w:embedRegular w:fontKey="{00000000-0000-0000-0000-000000000000}" r:id="rId4" w:subsetted="0"/>
    <w:embedBold w:fontKey="{00000000-0000-0000-0000-000000000000}" r:id="rId5" w:subsetted="0"/>
    <w:embedItalic w:fontKey="{00000000-0000-0000-0000-000000000000}" r:id="rId6" w:subsetted="0"/>
    <w:embedBoldItalic w:fontKey="{00000000-0000-0000-0000-000000000000}" r:id="rId7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8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rdo-regular.ttf"/><Relationship Id="rId2" Type="http://schemas.openxmlformats.org/officeDocument/2006/relationships/font" Target="fonts/Cardo-bold.ttf"/><Relationship Id="rId3" Type="http://schemas.openxmlformats.org/officeDocument/2006/relationships/font" Target="fonts/Cardo-italic.ttf"/><Relationship Id="rId4" Type="http://schemas.openxmlformats.org/officeDocument/2006/relationships/font" Target="fonts/HelveticaNeue-regular.ttf"/><Relationship Id="rId5" Type="http://schemas.openxmlformats.org/officeDocument/2006/relationships/font" Target="fonts/HelveticaNeue-bold.ttf"/><Relationship Id="rId6" Type="http://schemas.openxmlformats.org/officeDocument/2006/relationships/font" Target="fonts/HelveticaNeue-italic.ttf"/><Relationship Id="rId7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