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00" w:line="360" w:lineRule="auto"/>
        <w:ind w:firstLine="720"/>
        <w:rPr>
          <w:rFonts w:ascii="Lora Medium" w:cs="Lora Medium" w:eastAsia="Lora Medium" w:hAnsi="Lora Medium"/>
          <w:sz w:val="32"/>
          <w:szCs w:val="32"/>
        </w:rPr>
      </w:pPr>
      <w:r w:rsidDel="00000000" w:rsidR="00000000" w:rsidRPr="00000000">
        <w:rPr>
          <w:rFonts w:ascii="Lora Medium" w:cs="Lora Medium" w:eastAsia="Lora Medium" w:hAnsi="Lora Medium"/>
          <w:sz w:val="32"/>
          <w:szCs w:val="32"/>
          <w:rtl w:val="0"/>
        </w:rPr>
        <w:t xml:space="preserve">The rule of law has a significant impact on governmental officials and institutions as it establishes a legal framework that holds them accountable and ensures that they operate within the bounds of the law in the following ways:</w:t>
      </w:r>
    </w:p>
    <w:p w:rsidR="00000000" w:rsidDel="00000000" w:rsidP="00000000" w:rsidRDefault="00000000" w:rsidRPr="00000000" w14:paraId="00000002">
      <w:pPr>
        <w:numPr>
          <w:ilvl w:val="0"/>
          <w:numId w:val="1"/>
        </w:numPr>
        <w:spacing w:after="240" w:before="0" w:line="360" w:lineRule="auto"/>
        <w:ind w:left="720" w:hanging="360"/>
        <w:rPr>
          <w:rFonts w:ascii="Lora Medium" w:cs="Lora Medium" w:eastAsia="Lora Medium" w:hAnsi="Lora Medium"/>
          <w:sz w:val="32"/>
          <w:szCs w:val="32"/>
        </w:rPr>
      </w:pPr>
      <w:r w:rsidDel="00000000" w:rsidR="00000000" w:rsidRPr="00000000">
        <w:rPr>
          <w:rFonts w:ascii="Lora Medium" w:cs="Lora Medium" w:eastAsia="Lora Medium" w:hAnsi="Lora Medium"/>
          <w:sz w:val="32"/>
          <w:szCs w:val="32"/>
          <w:rtl w:val="0"/>
        </w:rPr>
        <w:t xml:space="preserve">Accountability to the law: Under the rule of law, all individuals, including government officials, are subject to the law and can be held accountable for their actions. This means that government officials must abide by the same rules as ordinary citizens.</w:t>
      </w:r>
    </w:p>
    <w:p w:rsidR="00000000" w:rsidDel="00000000" w:rsidP="00000000" w:rsidRDefault="00000000" w:rsidRPr="00000000" w14:paraId="00000003">
      <w:pPr>
        <w:numPr>
          <w:ilvl w:val="0"/>
          <w:numId w:val="1"/>
        </w:numPr>
        <w:spacing w:after="200" w:before="0" w:line="360" w:lineRule="auto"/>
        <w:ind w:left="720" w:hanging="360"/>
        <w:rPr>
          <w:rFonts w:ascii="Lora Medium" w:cs="Lora Medium" w:eastAsia="Lora Medium" w:hAnsi="Lora Medium"/>
          <w:sz w:val="32"/>
          <w:szCs w:val="32"/>
        </w:rPr>
      </w:pPr>
      <w:r w:rsidDel="00000000" w:rsidR="00000000" w:rsidRPr="00000000">
        <w:rPr>
          <w:rFonts w:ascii="Lora Medium" w:cs="Lora Medium" w:eastAsia="Lora Medium" w:hAnsi="Lora Medium"/>
          <w:sz w:val="32"/>
          <w:szCs w:val="32"/>
          <w:rtl w:val="0"/>
        </w:rPr>
        <w:t xml:space="preserve">Fair procedures: The rule of law requires that government officials follow clear and consistent procedures when making decisions. This includes providing notice and an opportunity for citizens to be heard before decisions are made, as well as providing reasons for those decisions.</w:t>
      </w:r>
    </w:p>
    <w:p w:rsidR="00000000" w:rsidDel="00000000" w:rsidP="00000000" w:rsidRDefault="00000000" w:rsidRPr="00000000" w14:paraId="00000004">
      <w:pPr>
        <w:numPr>
          <w:ilvl w:val="0"/>
          <w:numId w:val="1"/>
        </w:numPr>
        <w:spacing w:after="200" w:before="0" w:line="360" w:lineRule="auto"/>
        <w:ind w:left="720" w:hanging="360"/>
        <w:rPr>
          <w:rFonts w:ascii="Lora Medium" w:cs="Lora Medium" w:eastAsia="Lora Medium" w:hAnsi="Lora Medium"/>
          <w:sz w:val="32"/>
          <w:szCs w:val="32"/>
        </w:rPr>
      </w:pPr>
      <w:r w:rsidDel="00000000" w:rsidR="00000000" w:rsidRPr="00000000">
        <w:rPr>
          <w:rFonts w:ascii="Lora Medium" w:cs="Lora Medium" w:eastAsia="Lora Medium" w:hAnsi="Lora Medium"/>
          <w:sz w:val="32"/>
          <w:szCs w:val="32"/>
          <w:rtl w:val="0"/>
        </w:rPr>
        <w:t xml:space="preserve">Decisions based on the law: Government officials must make decisions based on the law rather than personal interests or biases.</w:t>
      </w:r>
    </w:p>
    <w:p w:rsidR="00000000" w:rsidDel="00000000" w:rsidP="00000000" w:rsidRDefault="00000000" w:rsidRPr="00000000" w14:paraId="00000005">
      <w:pPr>
        <w:numPr>
          <w:ilvl w:val="0"/>
          <w:numId w:val="1"/>
        </w:numPr>
        <w:spacing w:after="200" w:afterAutospacing="0" w:before="0" w:line="360" w:lineRule="auto"/>
        <w:ind w:left="720" w:hanging="360"/>
        <w:rPr>
          <w:rFonts w:ascii="Lora Medium" w:cs="Lora Medium" w:eastAsia="Lora Medium" w:hAnsi="Lora Medium"/>
          <w:sz w:val="32"/>
          <w:szCs w:val="32"/>
        </w:rPr>
      </w:pPr>
      <w:r w:rsidDel="00000000" w:rsidR="00000000" w:rsidRPr="00000000">
        <w:rPr>
          <w:rFonts w:ascii="Lora Medium" w:cs="Lora Medium" w:eastAsia="Lora Medium" w:hAnsi="Lora Medium"/>
          <w:sz w:val="32"/>
          <w:szCs w:val="32"/>
          <w:rtl w:val="0"/>
        </w:rPr>
        <w:t xml:space="preserve">Consistent application and enforcement of the law: This prevents arbitrary enforcement of the law and ensures everyone is treated equally under the law.</w:t>
      </w:r>
    </w:p>
    <w:p w:rsidR="00000000" w:rsidDel="00000000" w:rsidP="00000000" w:rsidRDefault="00000000" w:rsidRPr="00000000" w14:paraId="00000006">
      <w:pPr>
        <w:numPr>
          <w:ilvl w:val="0"/>
          <w:numId w:val="1"/>
        </w:numPr>
        <w:spacing w:after="240" w:before="200" w:beforeAutospacing="0" w:line="360" w:lineRule="auto"/>
        <w:ind w:left="720" w:hanging="360"/>
        <w:rPr>
          <w:rFonts w:ascii="Lora Medium" w:cs="Lora Medium" w:eastAsia="Lora Medium" w:hAnsi="Lora Medium"/>
          <w:sz w:val="32"/>
          <w:szCs w:val="32"/>
        </w:rPr>
      </w:pPr>
      <w:r w:rsidDel="00000000" w:rsidR="00000000" w:rsidRPr="00000000">
        <w:rPr>
          <w:rFonts w:ascii="Lora Medium" w:cs="Lora Medium" w:eastAsia="Lora Medium" w:hAnsi="Lora Medium"/>
          <w:sz w:val="32"/>
          <w:szCs w:val="32"/>
          <w:rtl w:val="0"/>
        </w:rPr>
        <w:t xml:space="preserve">Transparency of institutions: The rule of law requires that government institutions be transparent in their operations, decision-making processes, and use of public funds. This ensures that citizens can hold government officials accountable and helps prevent corruption and abuse of power.</w:t>
      </w:r>
    </w:p>
    <w:p w:rsidR="00000000" w:rsidDel="00000000" w:rsidP="00000000" w:rsidRDefault="00000000" w:rsidRPr="00000000" w14:paraId="00000007">
      <w:pPr>
        <w:jc w:val="center"/>
        <w:rPr>
          <w:rFonts w:ascii="Lora Medium" w:cs="Lora Medium" w:eastAsia="Lora Medium" w:hAnsi="Lora Medium"/>
          <w:sz w:val="40"/>
          <w:szCs w:val="40"/>
        </w:rPr>
      </w:pPr>
      <w:r w:rsidDel="00000000" w:rsidR="00000000" w:rsidRPr="00000000">
        <w:rPr>
          <w:rFonts w:ascii="Lora Medium" w:cs="Lora Medium" w:eastAsia="Lora Medium" w:hAnsi="Lora Medium"/>
          <w:sz w:val="40"/>
          <w:szCs w:val="40"/>
          <w:rtl w:val="0"/>
        </w:rPr>
        <w:t xml:space="preserve">To learn more, scan the QR code!</w:t>
      </w:r>
    </w:p>
    <w:p w:rsidR="00000000" w:rsidDel="00000000" w:rsidP="00000000" w:rsidRDefault="00000000" w:rsidRPr="00000000" w14:paraId="00000008">
      <w:pPr>
        <w:rPr>
          <w:rFonts w:ascii="Lora Medium" w:cs="Lora Medium" w:eastAsia="Lora Medium" w:hAnsi="Lora Medium"/>
          <w:sz w:val="32"/>
          <w:szCs w:val="32"/>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1819275</wp:posOffset>
            </wp:positionH>
            <wp:positionV relativeFrom="paragraph">
              <wp:posOffset>141021</wp:posOffset>
            </wp:positionV>
            <wp:extent cx="2300288" cy="2300288"/>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2300288" cy="2300288"/>
                    </a:xfrm>
                    <a:prstGeom prst="rect"/>
                    <a:ln/>
                  </pic:spPr>
                </pic:pic>
              </a:graphicData>
            </a:graphic>
          </wp:anchor>
        </w:drawing>
      </w:r>
    </w:p>
    <w:p w:rsidR="00000000" w:rsidDel="00000000" w:rsidP="00000000" w:rsidRDefault="00000000" w:rsidRPr="00000000" w14:paraId="00000009">
      <w:pPr>
        <w:rPr>
          <w:rFonts w:ascii="Lora Medium" w:cs="Lora Medium" w:eastAsia="Lora Medium" w:hAnsi="Lora Medium"/>
          <w:sz w:val="32"/>
          <w:szCs w:val="32"/>
        </w:rPr>
      </w:pPr>
      <w:r w:rsidDel="00000000" w:rsidR="00000000" w:rsidRPr="00000000">
        <w:rPr>
          <w:rtl w:val="0"/>
        </w:rPr>
      </w:r>
    </w:p>
    <w:p w:rsidR="00000000" w:rsidDel="00000000" w:rsidP="00000000" w:rsidRDefault="00000000" w:rsidRPr="00000000" w14:paraId="0000000A">
      <w:pPr>
        <w:rPr>
          <w:rFonts w:ascii="Lora Medium" w:cs="Lora Medium" w:eastAsia="Lora Medium" w:hAnsi="Lora Medium"/>
          <w:sz w:val="32"/>
          <w:szCs w:val="32"/>
        </w:rPr>
      </w:pPr>
      <w:r w:rsidDel="00000000" w:rsidR="00000000" w:rsidRPr="00000000">
        <w:rPr>
          <w:rtl w:val="0"/>
        </w:rPr>
      </w:r>
    </w:p>
    <w:p w:rsidR="00000000" w:rsidDel="00000000" w:rsidP="00000000" w:rsidRDefault="00000000" w:rsidRPr="00000000" w14:paraId="0000000B">
      <w:pPr>
        <w:rPr>
          <w:rFonts w:ascii="Lora Medium" w:cs="Lora Medium" w:eastAsia="Lora Medium" w:hAnsi="Lora Medium"/>
          <w:sz w:val="32"/>
          <w:szCs w:val="32"/>
        </w:rPr>
      </w:pPr>
      <w:r w:rsidDel="00000000" w:rsidR="00000000" w:rsidRPr="00000000">
        <w:rPr>
          <w:rtl w:val="0"/>
        </w:rPr>
      </w:r>
    </w:p>
    <w:p w:rsidR="00000000" w:rsidDel="00000000" w:rsidP="00000000" w:rsidRDefault="00000000" w:rsidRPr="00000000" w14:paraId="0000000C">
      <w:pPr>
        <w:rPr>
          <w:rFonts w:ascii="Lora Medium" w:cs="Lora Medium" w:eastAsia="Lora Medium" w:hAnsi="Lora Medium"/>
          <w:sz w:val="32"/>
          <w:szCs w:val="32"/>
        </w:rPr>
      </w:pPr>
      <w:r w:rsidDel="00000000" w:rsidR="00000000" w:rsidRPr="00000000">
        <w:rPr>
          <w:rtl w:val="0"/>
        </w:rPr>
      </w:r>
    </w:p>
    <w:p w:rsidR="00000000" w:rsidDel="00000000" w:rsidP="00000000" w:rsidRDefault="00000000" w:rsidRPr="00000000" w14:paraId="0000000D">
      <w:pPr>
        <w:rPr>
          <w:rFonts w:ascii="Lora Medium" w:cs="Lora Medium" w:eastAsia="Lora Medium" w:hAnsi="Lora Medium"/>
          <w:sz w:val="32"/>
          <w:szCs w:val="32"/>
        </w:rPr>
      </w:pPr>
      <w:r w:rsidDel="00000000" w:rsidR="00000000" w:rsidRPr="00000000">
        <w:rPr>
          <w:rtl w:val="0"/>
        </w:rPr>
      </w:r>
    </w:p>
    <w:p w:rsidR="00000000" w:rsidDel="00000000" w:rsidP="00000000" w:rsidRDefault="00000000" w:rsidRPr="00000000" w14:paraId="0000000E">
      <w:pPr>
        <w:rPr>
          <w:rFonts w:ascii="Lora Medium" w:cs="Lora Medium" w:eastAsia="Lora Medium" w:hAnsi="Lora Medium"/>
          <w:sz w:val="32"/>
          <w:szCs w:val="32"/>
        </w:rPr>
      </w:pPr>
      <w:r w:rsidDel="00000000" w:rsidR="00000000" w:rsidRPr="00000000">
        <w:rPr>
          <w:rtl w:val="0"/>
        </w:rPr>
      </w:r>
    </w:p>
    <w:p w:rsidR="00000000" w:rsidDel="00000000" w:rsidP="00000000" w:rsidRDefault="00000000" w:rsidRPr="00000000" w14:paraId="0000000F">
      <w:pPr>
        <w:rPr>
          <w:rFonts w:ascii="Lora Medium" w:cs="Lora Medium" w:eastAsia="Lora Medium" w:hAnsi="Lora Medium"/>
          <w:sz w:val="32"/>
          <w:szCs w:val="32"/>
        </w:rPr>
      </w:pPr>
      <w:r w:rsidDel="00000000" w:rsidR="00000000" w:rsidRPr="00000000">
        <w:rPr>
          <w:rtl w:val="0"/>
        </w:rPr>
      </w:r>
    </w:p>
    <w:p w:rsidR="00000000" w:rsidDel="00000000" w:rsidP="00000000" w:rsidRDefault="00000000" w:rsidRPr="00000000" w14:paraId="00000010">
      <w:pPr>
        <w:rPr>
          <w:rFonts w:ascii="Lora Medium" w:cs="Lora Medium" w:eastAsia="Lora Medium" w:hAnsi="Lora Medium"/>
          <w:sz w:val="32"/>
          <w:szCs w:val="32"/>
        </w:rPr>
      </w:pPr>
      <w:r w:rsidDel="00000000" w:rsidR="00000000" w:rsidRPr="00000000">
        <w:rPr>
          <w:rtl w:val="0"/>
        </w:rPr>
      </w:r>
    </w:p>
    <w:p w:rsidR="00000000" w:rsidDel="00000000" w:rsidP="00000000" w:rsidRDefault="00000000" w:rsidRPr="00000000" w14:paraId="00000011">
      <w:pPr>
        <w:jc w:val="center"/>
        <w:rPr>
          <w:rFonts w:ascii="Times New Roman" w:cs="Times New Roman" w:eastAsia="Times New Roman" w:hAnsi="Times New Roman"/>
          <w:sz w:val="24"/>
          <w:szCs w:val="24"/>
        </w:rPr>
      </w:pPr>
      <w:hyperlink r:id="rId7">
        <w:r w:rsidDel="00000000" w:rsidR="00000000" w:rsidRPr="00000000">
          <w:rPr>
            <w:rFonts w:ascii="Times New Roman" w:cs="Times New Roman" w:eastAsia="Times New Roman" w:hAnsi="Times New Roman"/>
            <w:color w:val="1155cc"/>
            <w:sz w:val="24"/>
            <w:szCs w:val="24"/>
            <w:u w:val="single"/>
            <w:rtl w:val="0"/>
          </w:rPr>
          <w:t xml:space="preserve">https://www.youtube.com/watch?v=HywGvVuIlY0</w:t>
        </w:r>
      </w:hyperlink>
      <w:r w:rsidDel="00000000" w:rsidR="00000000" w:rsidRPr="00000000">
        <w:rPr>
          <w:rFonts w:ascii="Times New Roman" w:cs="Times New Roman" w:eastAsia="Times New Roman" w:hAnsi="Times New Roman"/>
          <w:sz w:val="24"/>
          <w:szCs w:val="24"/>
          <w:rtl w:val="0"/>
        </w:rPr>
        <w:t xml:space="preserve"> </w:t>
      </w:r>
    </w:p>
    <w:sectPr>
      <w:headerReference r:id="rId8" w:type="default"/>
      <w:headerReference r:id="rId9" w:type="first"/>
      <w:footerReference r:id="rId10" w:type="default"/>
      <w:footerReference r:id="rId11"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Lora Medium">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Lora SemiBold">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Lora">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5">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6">
    <w:pPr>
      <w:rPr>
        <w:rFonts w:ascii="Lora" w:cs="Lora" w:eastAsia="Lora" w:hAnsi="Lora"/>
        <w:sz w:val="20"/>
        <w:szCs w:val="20"/>
      </w:rPr>
    </w:pPr>
    <w:r w:rsidDel="00000000" w:rsidR="00000000" w:rsidRPr="00000000">
      <w:rPr>
        <w:rFonts w:ascii="Lora" w:cs="Lora" w:eastAsia="Lora" w:hAnsi="Lora"/>
        <w:sz w:val="20"/>
        <w:szCs w:val="20"/>
        <w:rtl w:val="0"/>
      </w:rPr>
      <w:t xml:space="preserve">Adapted from: </w:t>
    </w:r>
    <w:hyperlink r:id="rId1">
      <w:r w:rsidDel="00000000" w:rsidR="00000000" w:rsidRPr="00000000">
        <w:rPr>
          <w:rFonts w:ascii="Lora" w:cs="Lora" w:eastAsia="Lora" w:hAnsi="Lora"/>
          <w:color w:val="1155cc"/>
          <w:sz w:val="20"/>
          <w:szCs w:val="20"/>
          <w:u w:val="single"/>
          <w:rtl w:val="0"/>
        </w:rPr>
        <w:t xml:space="preserve">https://www.uscourts.gov/educational-resources/educational-activities/overview-rule-law</w:t>
      </w:r>
    </w:hyperlink>
    <w:r w:rsidDel="00000000" w:rsidR="00000000" w:rsidRPr="00000000">
      <w:rPr>
        <w:rFonts w:ascii="Lora" w:cs="Lora" w:eastAsia="Lora" w:hAnsi="Lora"/>
        <w:sz w:val="20"/>
        <w:szCs w:val="20"/>
        <w:rtl w:val="0"/>
      </w:rPr>
      <w:t xml:space="preserve"> </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2">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3">
    <w:pPr>
      <w:jc w:val="center"/>
      <w:rPr>
        <w:rFonts w:ascii="Lora SemiBold" w:cs="Lora SemiBold" w:eastAsia="Lora SemiBold" w:hAnsi="Lora SemiBold"/>
        <w:i w:val="1"/>
        <w:sz w:val="48"/>
        <w:szCs w:val="48"/>
      </w:rPr>
    </w:pPr>
    <w:r w:rsidDel="00000000" w:rsidR="00000000" w:rsidRPr="00000000">
      <w:rPr>
        <w:rFonts w:ascii="Lora SemiBold" w:cs="Lora SemiBold" w:eastAsia="Lora SemiBold" w:hAnsi="Lora SemiBold"/>
        <w:i w:val="1"/>
        <w:sz w:val="48"/>
        <w:szCs w:val="48"/>
        <w:rtl w:val="0"/>
      </w:rPr>
      <w:t xml:space="preserve">#4 The Rule of Law and Government Officials</w:t>
    </w:r>
  </w:p>
  <w:p w:rsidR="00000000" w:rsidDel="00000000" w:rsidP="00000000" w:rsidRDefault="00000000" w:rsidRPr="00000000" w14:paraId="00000014">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footer" Target="footer2.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s://www.youtube.com/watch?v=HywGvVuIlY0"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LoraMedium-regular.ttf"/><Relationship Id="rId2" Type="http://schemas.openxmlformats.org/officeDocument/2006/relationships/font" Target="fonts/LoraMedium-bold.ttf"/><Relationship Id="rId3" Type="http://schemas.openxmlformats.org/officeDocument/2006/relationships/font" Target="fonts/LoraMedium-italic.ttf"/><Relationship Id="rId4" Type="http://schemas.openxmlformats.org/officeDocument/2006/relationships/font" Target="fonts/LoraMedium-boldItalic.ttf"/><Relationship Id="rId11" Type="http://schemas.openxmlformats.org/officeDocument/2006/relationships/font" Target="fonts/Lora-italic.ttf"/><Relationship Id="rId10" Type="http://schemas.openxmlformats.org/officeDocument/2006/relationships/font" Target="fonts/Lora-bold.ttf"/><Relationship Id="rId12" Type="http://schemas.openxmlformats.org/officeDocument/2006/relationships/font" Target="fonts/Lora-boldItalic.ttf"/><Relationship Id="rId9" Type="http://schemas.openxmlformats.org/officeDocument/2006/relationships/font" Target="fonts/Lora-regular.ttf"/><Relationship Id="rId5" Type="http://schemas.openxmlformats.org/officeDocument/2006/relationships/font" Target="fonts/LoraSemiBold-regular.ttf"/><Relationship Id="rId6" Type="http://schemas.openxmlformats.org/officeDocument/2006/relationships/font" Target="fonts/LoraSemiBold-bold.ttf"/><Relationship Id="rId7" Type="http://schemas.openxmlformats.org/officeDocument/2006/relationships/font" Target="fonts/LoraSemiBold-italic.ttf"/><Relationship Id="rId8" Type="http://schemas.openxmlformats.org/officeDocument/2006/relationships/font" Target="fonts/LoraSemiBold-boldItalic.ttf"/></Relationships>
</file>

<file path=word/_rels/footer2.xml.rels><?xml version="1.0" encoding="UTF-8" standalone="yes"?><Relationships xmlns="http://schemas.openxmlformats.org/package/2006/relationships"><Relationship Id="rId1" Type="http://schemas.openxmlformats.org/officeDocument/2006/relationships/hyperlink" Target="https://www.uscourts.gov/educational-resources/educational-activities/overview-rule-la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