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Bdr>
          <w:top w:color="d9d9e3" w:space="0" w:sz="0" w:val="none"/>
          <w:left w:color="d9d9e3" w:space="0" w:sz="0" w:val="none"/>
          <w:bottom w:color="d9d9e3" w:space="0" w:sz="0" w:val="none"/>
          <w:right w:color="d9d9e3" w:space="0" w:sz="0" w:val="none"/>
          <w:between w:color="d9d9e3" w:space="0" w:sz="0" w:val="none"/>
        </w:pBdr>
        <w:ind w:firstLine="720"/>
        <w:rPr>
          <w:rFonts w:ascii="Lora Medium" w:cs="Lora Medium" w:eastAsia="Lora Medium" w:hAnsi="Lora Medium"/>
          <w:sz w:val="32"/>
          <w:szCs w:val="32"/>
        </w:rPr>
      </w:pPr>
      <w:r w:rsidDel="00000000" w:rsidR="00000000" w:rsidRPr="00000000">
        <w:rPr>
          <w:rFonts w:ascii="Lora Medium" w:cs="Lora Medium" w:eastAsia="Lora Medium" w:hAnsi="Lora Medium"/>
          <w:sz w:val="32"/>
          <w:szCs w:val="32"/>
          <w:rtl w:val="0"/>
        </w:rPr>
        <w:t xml:space="preserve">The rule of law doesn’t exist on its own, but requires a vigilant and involved citizenry to protect it for ourselves and for future generations. It can be put at risk by a number of factors, including:</w:t>
      </w:r>
    </w:p>
    <w:p w:rsidR="00000000" w:rsidDel="00000000" w:rsidP="00000000" w:rsidRDefault="00000000" w:rsidRPr="00000000" w14:paraId="00000002">
      <w:pPr>
        <w:numPr>
          <w:ilvl w:val="0"/>
          <w:numId w:val="1"/>
        </w:numPr>
        <w:pBdr>
          <w:top w:color="d9d9e3" w:space="0" w:sz="0" w:val="none"/>
          <w:left w:color="d9d9e3" w:space="0" w:sz="0" w:val="none"/>
          <w:bottom w:color="d9d9e3" w:space="0" w:sz="0" w:val="none"/>
          <w:right w:color="d9d9e3" w:space="0" w:sz="0" w:val="none"/>
          <w:between w:color="d9d9e3" w:space="0" w:sz="0" w:val="none"/>
        </w:pBdr>
        <w:spacing w:after="200" w:before="0" w:lineRule="auto"/>
        <w:ind w:left="720" w:hanging="360"/>
        <w:rPr>
          <w:rFonts w:ascii="Lora Medium" w:cs="Lora Medium" w:eastAsia="Lora Medium" w:hAnsi="Lora Medium"/>
          <w:sz w:val="32"/>
          <w:szCs w:val="32"/>
        </w:rPr>
      </w:pPr>
      <w:r w:rsidDel="00000000" w:rsidR="00000000" w:rsidRPr="00000000">
        <w:rPr>
          <w:rFonts w:ascii="Lora Medium" w:cs="Lora Medium" w:eastAsia="Lora Medium" w:hAnsi="Lora Medium"/>
          <w:sz w:val="32"/>
          <w:szCs w:val="32"/>
          <w:rtl w:val="0"/>
        </w:rPr>
        <w:t xml:space="preserve">Lack of Independence of the judiciary: When the judiciary is not independent and is subject to political influence, it may not be able to provide impartial and fair judgments. This can lead to a loss of public trust in the legal system and the rule of law.</w:t>
      </w:r>
    </w:p>
    <w:p w:rsidR="00000000" w:rsidDel="00000000" w:rsidP="00000000" w:rsidRDefault="00000000" w:rsidRPr="00000000" w14:paraId="00000003">
      <w:pPr>
        <w:numPr>
          <w:ilvl w:val="0"/>
          <w:numId w:val="1"/>
        </w:numPr>
        <w:pBdr>
          <w:top w:color="d9d9e3" w:space="0" w:sz="0" w:val="none"/>
          <w:left w:color="d9d9e3" w:space="0" w:sz="0" w:val="none"/>
          <w:bottom w:color="d9d9e3" w:space="0" w:sz="0" w:val="none"/>
          <w:right w:color="d9d9e3" w:space="0" w:sz="0" w:val="none"/>
          <w:between w:color="d9d9e3" w:space="0" w:sz="0" w:val="none"/>
        </w:pBdr>
        <w:spacing w:after="200" w:before="0" w:lineRule="auto"/>
        <w:ind w:left="720" w:hanging="360"/>
        <w:rPr>
          <w:rFonts w:ascii="Lora Medium" w:cs="Lora Medium" w:eastAsia="Lora Medium" w:hAnsi="Lora Medium"/>
          <w:sz w:val="32"/>
          <w:szCs w:val="32"/>
        </w:rPr>
      </w:pPr>
      <w:r w:rsidDel="00000000" w:rsidR="00000000" w:rsidRPr="00000000">
        <w:rPr>
          <w:rFonts w:ascii="Lora Medium" w:cs="Lora Medium" w:eastAsia="Lora Medium" w:hAnsi="Lora Medium"/>
          <w:sz w:val="32"/>
          <w:szCs w:val="32"/>
          <w:rtl w:val="0"/>
        </w:rPr>
        <w:t xml:space="preserve">Corruption: Corruption undermines the rule of law by allowing individuals to buy their way out of legal consequences or use their influence to manipulate the legal system. This can lead to a loss of public trust in government institutions and the rule of law.</w:t>
      </w:r>
    </w:p>
    <w:p w:rsidR="00000000" w:rsidDel="00000000" w:rsidP="00000000" w:rsidRDefault="00000000" w:rsidRPr="00000000" w14:paraId="00000004">
      <w:pPr>
        <w:numPr>
          <w:ilvl w:val="0"/>
          <w:numId w:val="1"/>
        </w:numPr>
        <w:pBdr>
          <w:top w:color="d9d9e3" w:space="0" w:sz="0" w:val="none"/>
          <w:left w:color="d9d9e3" w:space="0" w:sz="0" w:val="none"/>
          <w:bottom w:color="d9d9e3" w:space="0" w:sz="0" w:val="none"/>
          <w:right w:color="d9d9e3" w:space="0" w:sz="0" w:val="none"/>
          <w:between w:color="d9d9e3" w:space="0" w:sz="0" w:val="none"/>
        </w:pBdr>
        <w:spacing w:after="200" w:before="0" w:lineRule="auto"/>
        <w:ind w:left="720" w:hanging="360"/>
        <w:rPr>
          <w:rFonts w:ascii="Lora Medium" w:cs="Lora Medium" w:eastAsia="Lora Medium" w:hAnsi="Lora Medium"/>
          <w:sz w:val="32"/>
          <w:szCs w:val="32"/>
        </w:rPr>
      </w:pPr>
      <w:r w:rsidDel="00000000" w:rsidR="00000000" w:rsidRPr="00000000">
        <w:rPr>
          <w:rFonts w:ascii="Lora Medium" w:cs="Lora Medium" w:eastAsia="Lora Medium" w:hAnsi="Lora Medium"/>
          <w:sz w:val="32"/>
          <w:szCs w:val="32"/>
          <w:rtl w:val="0"/>
        </w:rPr>
        <w:t xml:space="preserve">Lack of access to justice: When individuals do not have access to affordable and effective legal representation, they may be unable to assert their rights and hold government officials accountable. This can lead to a breakdown in the rule of law and a loss of public trust in the legal system.</w:t>
      </w:r>
    </w:p>
    <w:p w:rsidR="00000000" w:rsidDel="00000000" w:rsidP="00000000" w:rsidRDefault="00000000" w:rsidRPr="00000000" w14:paraId="00000005">
      <w:pPr>
        <w:numPr>
          <w:ilvl w:val="0"/>
          <w:numId w:val="1"/>
        </w:numPr>
        <w:pBdr>
          <w:top w:color="d9d9e3" w:space="0" w:sz="0" w:val="none"/>
          <w:left w:color="d9d9e3" w:space="0" w:sz="0" w:val="none"/>
          <w:bottom w:color="d9d9e3" w:space="0" w:sz="0" w:val="none"/>
          <w:right w:color="d9d9e3" w:space="0" w:sz="0" w:val="none"/>
          <w:between w:color="d9d9e3" w:space="0" w:sz="0" w:val="none"/>
        </w:pBdr>
        <w:spacing w:after="200" w:before="0" w:lineRule="auto"/>
        <w:ind w:left="720" w:hanging="360"/>
        <w:rPr>
          <w:rFonts w:ascii="Lora Medium" w:cs="Lora Medium" w:eastAsia="Lora Medium" w:hAnsi="Lora Medium"/>
          <w:sz w:val="32"/>
          <w:szCs w:val="32"/>
        </w:rPr>
      </w:pPr>
      <w:r w:rsidDel="00000000" w:rsidR="00000000" w:rsidRPr="00000000">
        <w:rPr>
          <w:rFonts w:ascii="Lora Medium" w:cs="Lora Medium" w:eastAsia="Lora Medium" w:hAnsi="Lora Medium"/>
          <w:sz w:val="32"/>
          <w:szCs w:val="32"/>
          <w:rtl w:val="0"/>
        </w:rPr>
        <w:t xml:space="preserve">Abuse of emergency powers: In times of emergency, governments may suspend or limit certain legal protections in the name of public safety. However, if these powers are abused or prolonged beyond the emergency, they can erode the rule of law and infringe on individual rights.</w:t>
      </w:r>
    </w:p>
    <w:p w:rsidR="00000000" w:rsidDel="00000000" w:rsidP="00000000" w:rsidRDefault="00000000" w:rsidRPr="00000000" w14:paraId="00000006">
      <w:pPr>
        <w:numPr>
          <w:ilvl w:val="0"/>
          <w:numId w:val="1"/>
        </w:numPr>
        <w:pBdr>
          <w:top w:color="d9d9e3" w:space="0" w:sz="0" w:val="none"/>
          <w:left w:color="d9d9e3" w:space="0" w:sz="0" w:val="none"/>
          <w:bottom w:color="d9d9e3" w:space="0" w:sz="0" w:val="none"/>
          <w:right w:color="d9d9e3" w:space="0" w:sz="0" w:val="none"/>
          <w:between w:color="d9d9e3" w:space="0" w:sz="0" w:val="none"/>
        </w:pBdr>
        <w:spacing w:after="200" w:before="0" w:lineRule="auto"/>
        <w:ind w:left="720" w:hanging="360"/>
        <w:rPr>
          <w:rFonts w:ascii="Lora Medium" w:cs="Lora Medium" w:eastAsia="Lora Medium" w:hAnsi="Lora Medium"/>
          <w:sz w:val="32"/>
          <w:szCs w:val="32"/>
        </w:rPr>
      </w:pPr>
      <w:r w:rsidDel="00000000" w:rsidR="00000000" w:rsidRPr="00000000">
        <w:rPr>
          <w:rFonts w:ascii="Lora Medium" w:cs="Lora Medium" w:eastAsia="Lora Medium" w:hAnsi="Lora Medium"/>
          <w:sz w:val="32"/>
          <w:szCs w:val="32"/>
          <w:rtl w:val="0"/>
        </w:rPr>
        <w:t xml:space="preserve">Weak institutions: If government institutions are weak, underfunded, or inefficient, they may not be able to enforce the law effectively or provide adequate oversight of government officials. This can lead to a breakdown in the rule of law and a loss of public trust in government institutions.</w:t>
      </w:r>
    </w:p>
    <w:p w:rsidR="00000000" w:rsidDel="00000000" w:rsidP="00000000" w:rsidRDefault="00000000" w:rsidRPr="00000000" w14:paraId="00000007">
      <w:pPr>
        <w:jc w:val="center"/>
        <w:rPr>
          <w:rFonts w:ascii="Lora Medium" w:cs="Lora Medium" w:eastAsia="Lora Medium" w:hAnsi="Lora Medium"/>
          <w:sz w:val="40"/>
          <w:szCs w:val="40"/>
        </w:rPr>
      </w:pPr>
      <w:r w:rsidDel="00000000" w:rsidR="00000000" w:rsidRPr="00000000">
        <w:rPr>
          <w:rFonts w:ascii="Lora Medium" w:cs="Lora Medium" w:eastAsia="Lora Medium" w:hAnsi="Lora Medium"/>
          <w:sz w:val="40"/>
          <w:szCs w:val="40"/>
          <w:rtl w:val="0"/>
        </w:rPr>
        <w:t xml:space="preserve">To learn more, scan the QR code!</w:t>
      </w:r>
    </w:p>
    <w:p w:rsidR="00000000" w:rsidDel="00000000" w:rsidP="00000000" w:rsidRDefault="00000000" w:rsidRPr="00000000" w14:paraId="00000008">
      <w:pPr>
        <w:pBdr>
          <w:top w:color="d9d9e3" w:space="0" w:sz="0" w:val="none"/>
          <w:left w:color="d9d9e3" w:space="0" w:sz="0" w:val="none"/>
          <w:bottom w:color="d9d9e3" w:space="0" w:sz="0" w:val="none"/>
          <w:right w:color="d9d9e3" w:space="0" w:sz="0" w:val="none"/>
          <w:between w:color="d9d9e3" w:space="0" w:sz="0" w:val="none"/>
        </w:pBdr>
        <w:spacing w:after="240" w:before="240" w:lineRule="auto"/>
        <w:rPr>
          <w:rFonts w:ascii="Lora Medium" w:cs="Lora Medium" w:eastAsia="Lora Medium" w:hAnsi="Lora Medium"/>
          <w:color w:val="374151"/>
          <w:sz w:val="32"/>
          <w:szCs w:val="32"/>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2043113</wp:posOffset>
            </wp:positionH>
            <wp:positionV relativeFrom="paragraph">
              <wp:posOffset>142875</wp:posOffset>
            </wp:positionV>
            <wp:extent cx="2166938" cy="2175272"/>
            <wp:effectExtent b="0" l="0" r="0" t="0"/>
            <wp:wrapSquare wrapText="bothSides" distB="114300" distT="114300" distL="114300" distR="114300"/>
            <wp:docPr id="1" name="image1.png"/>
            <a:graphic>
              <a:graphicData uri="http://schemas.openxmlformats.org/drawingml/2006/picture">
                <pic:pic>
                  <pic:nvPicPr>
                    <pic:cNvPr id="0" name="image1.png"/>
                    <pic:cNvPicPr preferRelativeResize="0"/>
                  </pic:nvPicPr>
                  <pic:blipFill>
                    <a:blip r:embed="rId6"/>
                    <a:srcRect b="0" l="0" r="0" t="0"/>
                    <a:stretch>
                      <a:fillRect/>
                    </a:stretch>
                  </pic:blipFill>
                  <pic:spPr>
                    <a:xfrm>
                      <a:off x="0" y="0"/>
                      <a:ext cx="2166938" cy="2175272"/>
                    </a:xfrm>
                    <a:prstGeom prst="rect"/>
                    <a:ln/>
                  </pic:spPr>
                </pic:pic>
              </a:graphicData>
            </a:graphic>
          </wp:anchor>
        </w:drawing>
      </w:r>
    </w:p>
    <w:p w:rsidR="00000000" w:rsidDel="00000000" w:rsidP="00000000" w:rsidRDefault="00000000" w:rsidRPr="00000000" w14:paraId="00000009">
      <w:pPr>
        <w:pBdr>
          <w:top w:color="d9d9e3" w:space="0" w:sz="0" w:val="none"/>
          <w:left w:color="d9d9e3" w:space="0" w:sz="0" w:val="none"/>
          <w:bottom w:color="d9d9e3" w:space="0" w:sz="0" w:val="none"/>
          <w:right w:color="d9d9e3" w:space="0" w:sz="0" w:val="none"/>
          <w:between w:color="d9d9e3" w:space="0" w:sz="0" w:val="none"/>
        </w:pBdr>
        <w:spacing w:before="300" w:lineRule="auto"/>
        <w:rPr>
          <w:rFonts w:ascii="Roboto" w:cs="Roboto" w:eastAsia="Roboto" w:hAnsi="Roboto"/>
          <w:color w:val="374151"/>
          <w:sz w:val="24"/>
          <w:szCs w:val="24"/>
        </w:rPr>
      </w:pPr>
      <w:r w:rsidDel="00000000" w:rsidR="00000000" w:rsidRPr="00000000">
        <w:rPr>
          <w:rtl w:val="0"/>
        </w:rPr>
      </w:r>
    </w:p>
    <w:p w:rsidR="00000000" w:rsidDel="00000000" w:rsidP="00000000" w:rsidRDefault="00000000" w:rsidRPr="00000000" w14:paraId="0000000A">
      <w:pPr>
        <w:rPr/>
      </w:pPr>
      <w:r w:rsidDel="00000000" w:rsidR="00000000" w:rsidRPr="00000000">
        <w:rPr>
          <w:rtl w:val="0"/>
        </w:rPr>
      </w:r>
    </w:p>
    <w:p w:rsidR="00000000" w:rsidDel="00000000" w:rsidP="00000000" w:rsidRDefault="00000000" w:rsidRPr="00000000" w14:paraId="0000000B">
      <w:pPr>
        <w:rPr/>
      </w:pPr>
      <w:r w:rsidDel="00000000" w:rsidR="00000000" w:rsidRPr="00000000">
        <w:rPr>
          <w:rtl w:val="0"/>
        </w:rPr>
      </w:r>
    </w:p>
    <w:p w:rsidR="00000000" w:rsidDel="00000000" w:rsidP="00000000" w:rsidRDefault="00000000" w:rsidRPr="00000000" w14:paraId="0000000C">
      <w:pPr>
        <w:rPr/>
      </w:pPr>
      <w:r w:rsidDel="00000000" w:rsidR="00000000" w:rsidRPr="00000000">
        <w:rPr>
          <w:rtl w:val="0"/>
        </w:rPr>
      </w:r>
    </w:p>
    <w:p w:rsidR="00000000" w:rsidDel="00000000" w:rsidP="00000000" w:rsidRDefault="00000000" w:rsidRPr="00000000" w14:paraId="0000000D">
      <w:pPr>
        <w:rPr/>
      </w:pPr>
      <w:r w:rsidDel="00000000" w:rsidR="00000000" w:rsidRPr="00000000">
        <w:rPr>
          <w:rtl w:val="0"/>
        </w:rPr>
      </w:r>
    </w:p>
    <w:p w:rsidR="00000000" w:rsidDel="00000000" w:rsidP="00000000" w:rsidRDefault="00000000" w:rsidRPr="00000000" w14:paraId="0000000E">
      <w:pPr>
        <w:rPr/>
      </w:pPr>
      <w:r w:rsidDel="00000000" w:rsidR="00000000" w:rsidRPr="00000000">
        <w:rPr>
          <w:rtl w:val="0"/>
        </w:rPr>
      </w:r>
    </w:p>
    <w:p w:rsidR="00000000" w:rsidDel="00000000" w:rsidP="00000000" w:rsidRDefault="00000000" w:rsidRPr="00000000" w14:paraId="0000000F">
      <w:pPr>
        <w:rPr/>
      </w:pPr>
      <w:r w:rsidDel="00000000" w:rsidR="00000000" w:rsidRPr="00000000">
        <w:rPr>
          <w:rtl w:val="0"/>
        </w:rPr>
      </w:r>
    </w:p>
    <w:p w:rsidR="00000000" w:rsidDel="00000000" w:rsidP="00000000" w:rsidRDefault="00000000" w:rsidRPr="00000000" w14:paraId="00000010">
      <w:pPr>
        <w:rPr/>
      </w:pPr>
      <w:r w:rsidDel="00000000" w:rsidR="00000000" w:rsidRPr="00000000">
        <w:rPr>
          <w:rtl w:val="0"/>
        </w:rPr>
      </w:r>
    </w:p>
    <w:p w:rsidR="00000000" w:rsidDel="00000000" w:rsidP="00000000" w:rsidRDefault="00000000" w:rsidRPr="00000000" w14:paraId="00000011">
      <w:pPr>
        <w:rPr/>
      </w:pPr>
      <w:r w:rsidDel="00000000" w:rsidR="00000000" w:rsidRPr="00000000">
        <w:rPr>
          <w:rtl w:val="0"/>
        </w:rPr>
      </w:r>
    </w:p>
    <w:p w:rsidR="00000000" w:rsidDel="00000000" w:rsidP="00000000" w:rsidRDefault="00000000" w:rsidRPr="00000000" w14:paraId="00000012">
      <w:pPr>
        <w:jc w:val="center"/>
        <w:rPr>
          <w:rFonts w:ascii="Times New Roman" w:cs="Times New Roman" w:eastAsia="Times New Roman" w:hAnsi="Times New Roman"/>
          <w:sz w:val="24"/>
          <w:szCs w:val="24"/>
        </w:rPr>
      </w:pPr>
      <w:hyperlink r:id="rId7">
        <w:r w:rsidDel="00000000" w:rsidR="00000000" w:rsidRPr="00000000">
          <w:rPr>
            <w:rFonts w:ascii="Times New Roman" w:cs="Times New Roman" w:eastAsia="Times New Roman" w:hAnsi="Times New Roman"/>
            <w:color w:val="1155cc"/>
            <w:sz w:val="24"/>
            <w:szCs w:val="24"/>
            <w:u w:val="single"/>
            <w:rtl w:val="0"/>
          </w:rPr>
          <w:t xml:space="preserve">https://www.youtube.com/watch?v=RrlHrV91KXQ</w:t>
        </w:r>
      </w:hyperlink>
      <w:r w:rsidDel="00000000" w:rsidR="00000000" w:rsidRPr="00000000">
        <w:rPr>
          <w:rFonts w:ascii="Times New Roman" w:cs="Times New Roman" w:eastAsia="Times New Roman" w:hAnsi="Times New Roman"/>
          <w:sz w:val="24"/>
          <w:szCs w:val="24"/>
          <w:rtl w:val="0"/>
        </w:rPr>
        <w:t xml:space="preserve"> </w:t>
      </w:r>
      <w:r w:rsidDel="00000000" w:rsidR="00000000" w:rsidRPr="00000000">
        <w:rPr>
          <w:rtl w:val="0"/>
        </w:rPr>
      </w:r>
    </w:p>
    <w:sectPr>
      <w:headerReference r:id="rId8" w:type="default"/>
      <w:headerReference r:id="rId9" w:type="first"/>
      <w:footerReference r:id="rId10" w:type="default"/>
      <w:footerReference r:id="rId11" w:type="first"/>
      <w:pgSz w:h="15840" w:w="12240" w:orient="portrait"/>
      <w:pgMar w:bottom="1440" w:top="1440" w:left="1440" w:right="1440" w:header="720"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Times New Roman"/>
  <w:font w:name="Lora Medium">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Roboto">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Lora SemiBold">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 w:name="Lora">
    <w:embedRegular w:fontKey="{00000000-0000-0000-0000-000000000000}" r:id="rId13" w:subsetted="0"/>
    <w:embedBold w:fontKey="{00000000-0000-0000-0000-000000000000}" r:id="rId14" w:subsetted="0"/>
    <w:embedItalic w:fontKey="{00000000-0000-0000-0000-000000000000}" r:id="rId15" w:subsetted="0"/>
    <w:embedBoldItalic w:fontKey="{00000000-0000-0000-0000-000000000000}" r:id="rId16"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6">
    <w:pPr>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7">
    <w:pPr>
      <w:rPr>
        <w:rFonts w:ascii="Lora" w:cs="Lora" w:eastAsia="Lora" w:hAnsi="Lora"/>
        <w:sz w:val="20"/>
        <w:szCs w:val="20"/>
      </w:rPr>
    </w:pPr>
    <w:r w:rsidDel="00000000" w:rsidR="00000000" w:rsidRPr="00000000">
      <w:rPr>
        <w:rFonts w:ascii="Lora" w:cs="Lora" w:eastAsia="Lora" w:hAnsi="Lora"/>
        <w:sz w:val="20"/>
        <w:szCs w:val="20"/>
        <w:rtl w:val="0"/>
      </w:rPr>
      <w:t xml:space="preserve">Adapted from </w:t>
    </w:r>
    <w:hyperlink r:id="rId1">
      <w:r w:rsidDel="00000000" w:rsidR="00000000" w:rsidRPr="00000000">
        <w:rPr>
          <w:rFonts w:ascii="Lora" w:cs="Lora" w:eastAsia="Lora" w:hAnsi="Lora"/>
          <w:color w:val="1155cc"/>
          <w:sz w:val="20"/>
          <w:szCs w:val="20"/>
          <w:u w:val="single"/>
          <w:rtl w:val="0"/>
        </w:rPr>
        <w:t xml:space="preserve">https://www.britannica.com/topic/rule-of-law/Challenges-to-the-rule-of-law</w:t>
      </w:r>
    </w:hyperlink>
    <w:r w:rsidDel="00000000" w:rsidR="00000000" w:rsidRPr="00000000">
      <w:rPr>
        <w:rFonts w:ascii="Lora" w:cs="Lora" w:eastAsia="Lora" w:hAnsi="Lora"/>
        <w:sz w:val="20"/>
        <w:szCs w:val="20"/>
        <w:rtl w:val="0"/>
      </w:rPr>
      <w:t xml:space="preserve">  </w:t>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3">
    <w:pPr>
      <w:jc w:val="center"/>
      <w:rPr>
        <w:rFonts w:ascii="Lora SemiBold" w:cs="Lora SemiBold" w:eastAsia="Lora SemiBold" w:hAnsi="Lora SemiBold"/>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4">
    <w:pPr>
      <w:jc w:val="center"/>
      <w:rPr>
        <w:rFonts w:ascii="Lora SemiBold" w:cs="Lora SemiBold" w:eastAsia="Lora SemiBold" w:hAnsi="Lora SemiBold"/>
        <w:i w:val="1"/>
        <w:sz w:val="44"/>
        <w:szCs w:val="44"/>
      </w:rPr>
    </w:pPr>
    <w:r w:rsidDel="00000000" w:rsidR="00000000" w:rsidRPr="00000000">
      <w:rPr>
        <w:rFonts w:ascii="Lora SemiBold" w:cs="Lora SemiBold" w:eastAsia="Lora SemiBold" w:hAnsi="Lora SemiBold"/>
        <w:i w:val="1"/>
        <w:sz w:val="44"/>
        <w:szCs w:val="44"/>
        <w:rtl w:val="0"/>
      </w:rPr>
      <w:t xml:space="preserve">#5 The Rule of Law at Risk</w:t>
    </w:r>
  </w:p>
  <w:p w:rsidR="00000000" w:rsidDel="00000000" w:rsidP="00000000" w:rsidRDefault="00000000" w:rsidRPr="00000000" w14:paraId="00000015">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color w:val="000000"/>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footer" Target="footer1.xml"/><Relationship Id="rId10" Type="http://schemas.openxmlformats.org/officeDocument/2006/relationships/footer" Target="footer2.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eader" Target="header2.xml"/><Relationship Id="rId5" Type="http://schemas.openxmlformats.org/officeDocument/2006/relationships/styles" Target="styles.xml"/><Relationship Id="rId6" Type="http://schemas.openxmlformats.org/officeDocument/2006/relationships/image" Target="media/image1.png"/><Relationship Id="rId7" Type="http://schemas.openxmlformats.org/officeDocument/2006/relationships/hyperlink" Target="https://www.youtube.com/watch?v=RrlHrV91KXQ" TargetMode="External"/><Relationship Id="rId8" Type="http://schemas.openxmlformats.org/officeDocument/2006/relationships/header" Target="header1.xml"/></Relationships>
</file>

<file path=word/_rels/fontTable.xml.rels><?xml version="1.0" encoding="UTF-8" standalone="yes"?><Relationships xmlns="http://schemas.openxmlformats.org/package/2006/relationships"><Relationship Id="rId11" Type="http://schemas.openxmlformats.org/officeDocument/2006/relationships/font" Target="fonts/LoraSemiBold-italic.ttf"/><Relationship Id="rId10" Type="http://schemas.openxmlformats.org/officeDocument/2006/relationships/font" Target="fonts/LoraSemiBold-bold.ttf"/><Relationship Id="rId13" Type="http://schemas.openxmlformats.org/officeDocument/2006/relationships/font" Target="fonts/Lora-regular.ttf"/><Relationship Id="rId12" Type="http://schemas.openxmlformats.org/officeDocument/2006/relationships/font" Target="fonts/LoraSemiBold-boldItalic.ttf"/><Relationship Id="rId1" Type="http://schemas.openxmlformats.org/officeDocument/2006/relationships/font" Target="fonts/LoraMedium-regular.ttf"/><Relationship Id="rId2" Type="http://schemas.openxmlformats.org/officeDocument/2006/relationships/font" Target="fonts/LoraMedium-bold.ttf"/><Relationship Id="rId3" Type="http://schemas.openxmlformats.org/officeDocument/2006/relationships/font" Target="fonts/LoraMedium-italic.ttf"/><Relationship Id="rId4" Type="http://schemas.openxmlformats.org/officeDocument/2006/relationships/font" Target="fonts/LoraMedium-boldItalic.ttf"/><Relationship Id="rId9" Type="http://schemas.openxmlformats.org/officeDocument/2006/relationships/font" Target="fonts/LoraSemiBold-regular.ttf"/><Relationship Id="rId15" Type="http://schemas.openxmlformats.org/officeDocument/2006/relationships/font" Target="fonts/Lora-italic.ttf"/><Relationship Id="rId14" Type="http://schemas.openxmlformats.org/officeDocument/2006/relationships/font" Target="fonts/Lora-bold.ttf"/><Relationship Id="rId16" Type="http://schemas.openxmlformats.org/officeDocument/2006/relationships/font" Target="fonts/Lora-boldItalic.ttf"/><Relationship Id="rId5" Type="http://schemas.openxmlformats.org/officeDocument/2006/relationships/font" Target="fonts/Roboto-regular.ttf"/><Relationship Id="rId6" Type="http://schemas.openxmlformats.org/officeDocument/2006/relationships/font" Target="fonts/Roboto-bold.ttf"/><Relationship Id="rId7" Type="http://schemas.openxmlformats.org/officeDocument/2006/relationships/font" Target="fonts/Roboto-italic.ttf"/><Relationship Id="rId8" Type="http://schemas.openxmlformats.org/officeDocument/2006/relationships/font" Target="fonts/Roboto-boldItalic.ttf"/></Relationships>
</file>

<file path=word/_rels/footer2.xml.rels><?xml version="1.0" encoding="UTF-8" standalone="yes"?><Relationships xmlns="http://schemas.openxmlformats.org/package/2006/relationships"><Relationship Id="rId1" Type="http://schemas.openxmlformats.org/officeDocument/2006/relationships/hyperlink" Target="https://www.britannica.com/topic/rule-of-law/Challenges-to-the-rule-of-law"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