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The rule of law provides a framework for fair and just governance and protects citizens from arbitrary and abusive government actions, ensuring that all individuals, including leaders and government officials, are subject to the law and that no one is above the law.</w:t>
      </w:r>
    </w:p>
    <w:p w:rsidR="00000000" w:rsidDel="00000000" w:rsidP="00000000" w:rsidRDefault="00000000" w:rsidRPr="00000000" w14:paraId="00000002">
      <w:pPr>
        <w:spacing w:after="20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The rule of law helps to prevent abuse of power by ensuring that laws and regulations are clearly defined, accessible, and applied consistently. This ensures that citizens are aware of their rights and responsibilities, and that they can hold the government accountable for its actions. Additionally, the rule of law establishes an independent judiciary and legal system, which can provide a check on the power of the government and protect citizens from abuse.</w:t>
      </w:r>
    </w:p>
    <w:p w:rsidR="00000000" w:rsidDel="00000000" w:rsidP="00000000" w:rsidRDefault="00000000" w:rsidRPr="00000000" w14:paraId="00000003">
      <w:pPr>
        <w:spacing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For example, the rule of law prevents a government from arbitrarily detaining citizens without trial, censoring free speech, or confiscating property without just compensation. If a government violates the rule of law, citizens can seek remedies in court, or remove officials at the next election.</w:t>
      </w:r>
    </w:p>
    <w:p w:rsidR="00000000" w:rsidDel="00000000" w:rsidP="00000000" w:rsidRDefault="00000000" w:rsidRPr="00000000" w14:paraId="00000004">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5">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6">
      <w:pPr>
        <w:jc w:val="center"/>
        <w:rPr>
          <w:rFonts w:ascii="Lora Medium" w:cs="Lora Medium" w:eastAsia="Lora Medium" w:hAnsi="Lora Medium"/>
          <w:sz w:val="40"/>
          <w:szCs w:val="40"/>
        </w:rPr>
      </w:pPr>
      <w:r w:rsidDel="00000000" w:rsidR="00000000" w:rsidRPr="00000000">
        <w:rPr>
          <w:rFonts w:ascii="Lora Medium" w:cs="Lora Medium" w:eastAsia="Lora Medium" w:hAnsi="Lora Medium"/>
          <w:sz w:val="40"/>
          <w:szCs w:val="40"/>
          <w:rtl w:val="0"/>
        </w:rPr>
        <w:t xml:space="preserve">To learn more, scan the QR code!</w:t>
      </w:r>
    </w:p>
    <w:p w:rsidR="00000000" w:rsidDel="00000000" w:rsidP="00000000" w:rsidRDefault="00000000" w:rsidRPr="00000000" w14:paraId="00000007">
      <w:pPr>
        <w:spacing w:line="360" w:lineRule="auto"/>
        <w:rPr>
          <w:rFonts w:ascii="Lora Medium" w:cs="Lora Medium" w:eastAsia="Lora Medium" w:hAnsi="Lora Medium"/>
          <w:color w:val="3741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1881188</wp:posOffset>
            </wp:positionH>
            <wp:positionV relativeFrom="paragraph">
              <wp:posOffset>341757</wp:posOffset>
            </wp:positionV>
            <wp:extent cx="2180990" cy="215652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0990" cy="2156524"/>
                    </a:xfrm>
                    <a:prstGeom prst="rect"/>
                    <a:ln/>
                  </pic:spPr>
                </pic:pic>
              </a:graphicData>
            </a:graphic>
          </wp:anchor>
        </w:drawing>
      </w:r>
    </w:p>
    <w:p w:rsidR="00000000" w:rsidDel="00000000" w:rsidP="00000000" w:rsidRDefault="00000000" w:rsidRPr="00000000" w14:paraId="00000008">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9">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A">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B">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C">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D">
      <w:pPr>
        <w:spacing w:line="360" w:lineRule="auto"/>
        <w:rPr>
          <w:rFonts w:ascii="Lora Medium" w:cs="Lora Medium" w:eastAsia="Lora Medium" w:hAnsi="Lora Medium"/>
          <w:color w:val="374151"/>
          <w:sz w:val="32"/>
          <w:szCs w:val="32"/>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color w:val="374151"/>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https://www.youtube.com/watch?v=PZEUPlsJ4ek</w:t>
        </w:r>
      </w:hyperlink>
      <w:r w:rsidDel="00000000" w:rsidR="00000000" w:rsidRPr="00000000">
        <w:rPr>
          <w:rFonts w:ascii="Times New Roman" w:cs="Times New Roman" w:eastAsia="Times New Roman" w:hAnsi="Times New Roman"/>
          <w:color w:val="374151"/>
          <w:sz w:val="24"/>
          <w:szCs w:val="24"/>
          <w:rtl w:val="0"/>
        </w:rPr>
        <w:t xml:space="preserve"> </w:t>
      </w:r>
    </w:p>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ora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ora">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rFonts w:ascii="Lora" w:cs="Lora" w:eastAsia="Lora" w:hAnsi="Lora"/>
        <w:sz w:val="20"/>
        <w:szCs w:val="20"/>
      </w:rPr>
    </w:pPr>
    <w:r w:rsidDel="00000000" w:rsidR="00000000" w:rsidRPr="00000000">
      <w:rPr>
        <w:rFonts w:ascii="Lora" w:cs="Lora" w:eastAsia="Lora" w:hAnsi="Lora"/>
        <w:sz w:val="20"/>
        <w:szCs w:val="20"/>
        <w:rtl w:val="0"/>
      </w:rPr>
      <w:t xml:space="preserve">Adapted from: </w:t>
    </w:r>
    <w:hyperlink r:id="rId1">
      <w:r w:rsidDel="00000000" w:rsidR="00000000" w:rsidRPr="00000000">
        <w:rPr>
          <w:rFonts w:ascii="Lora" w:cs="Lora" w:eastAsia="Lora" w:hAnsi="Lora"/>
          <w:color w:val="1155cc"/>
          <w:sz w:val="20"/>
          <w:szCs w:val="20"/>
          <w:u w:val="single"/>
          <w:rtl w:val="0"/>
        </w:rPr>
        <w:t xml:space="preserve">https://www.brennancenter.org/our-work/research-reports/why-we-need-protect-rule-law-federal-government</w:t>
      </w:r>
    </w:hyperlink>
    <w:r w:rsidDel="00000000" w:rsidR="00000000" w:rsidRPr="00000000">
      <w:rPr>
        <w:rFonts w:ascii="Lora" w:cs="Lora" w:eastAsia="Lora" w:hAnsi="Lora"/>
        <w:sz w:val="20"/>
        <w:szCs w:val="20"/>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center"/>
      <w:rPr>
        <w:rFonts w:ascii="Lora SemiBold" w:cs="Lora SemiBold" w:eastAsia="Lora SemiBold" w:hAnsi="Lora SemiBold"/>
        <w:i w:val="1"/>
        <w:sz w:val="44"/>
        <w:szCs w:val="4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center"/>
      <w:rPr>
        <w:rFonts w:ascii="Lora SemiBold" w:cs="Lora SemiBold" w:eastAsia="Lora SemiBold" w:hAnsi="Lora SemiBold"/>
        <w:i w:val="1"/>
        <w:sz w:val="48"/>
        <w:szCs w:val="48"/>
      </w:rPr>
    </w:pPr>
    <w:r w:rsidDel="00000000" w:rsidR="00000000" w:rsidRPr="00000000">
      <w:rPr>
        <w:rFonts w:ascii="Lora SemiBold" w:cs="Lora SemiBold" w:eastAsia="Lora SemiBold" w:hAnsi="Lora SemiBold"/>
        <w:i w:val="1"/>
        <w:sz w:val="48"/>
        <w:szCs w:val="48"/>
        <w:rtl w:val="0"/>
      </w:rPr>
      <w:t xml:space="preserve">#3 How the Rule of Law Protects YOU</w:t>
    </w:r>
  </w:p>
  <w:p w:rsidR="00000000" w:rsidDel="00000000" w:rsidP="00000000" w:rsidRDefault="00000000" w:rsidRPr="00000000" w14:paraId="0000001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PZEUPlsJ4e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Medium-regular.ttf"/><Relationship Id="rId2" Type="http://schemas.openxmlformats.org/officeDocument/2006/relationships/font" Target="fonts/LoraMedium-bold.ttf"/><Relationship Id="rId3" Type="http://schemas.openxmlformats.org/officeDocument/2006/relationships/font" Target="fonts/LoraMedium-italic.ttf"/><Relationship Id="rId4" Type="http://schemas.openxmlformats.org/officeDocument/2006/relationships/font" Target="fonts/LoraMedium-boldItalic.ttf"/><Relationship Id="rId11" Type="http://schemas.openxmlformats.org/officeDocument/2006/relationships/font" Target="fonts/Lora-italic.ttf"/><Relationship Id="rId10" Type="http://schemas.openxmlformats.org/officeDocument/2006/relationships/font" Target="fonts/Lora-bold.ttf"/><Relationship Id="rId12" Type="http://schemas.openxmlformats.org/officeDocument/2006/relationships/font" Target="fonts/Lora-boldItalic.ttf"/><Relationship Id="rId9" Type="http://schemas.openxmlformats.org/officeDocument/2006/relationships/font" Target="fonts/Lora-regular.ttf"/><Relationship Id="rId5" Type="http://schemas.openxmlformats.org/officeDocument/2006/relationships/font" Target="fonts/LoraSemiBold-regular.ttf"/><Relationship Id="rId6" Type="http://schemas.openxmlformats.org/officeDocument/2006/relationships/font" Target="fonts/LoraSemiBold-bold.ttf"/><Relationship Id="rId7" Type="http://schemas.openxmlformats.org/officeDocument/2006/relationships/font" Target="fonts/LoraSemiBold-italic.ttf"/><Relationship Id="rId8" Type="http://schemas.openxmlformats.org/officeDocument/2006/relationships/font" Target="fonts/LoraSemiBold-boldItalic.ttf"/></Relationships>
</file>

<file path=word/_rels/footer2.xml.rels><?xml version="1.0" encoding="UTF-8" standalone="yes"?><Relationships xmlns="http://schemas.openxmlformats.org/package/2006/relationships"><Relationship Id="rId1" Type="http://schemas.openxmlformats.org/officeDocument/2006/relationships/hyperlink" Target="https://www.brennancenter.org/our-work/research-reports/why-we-need-protect-rule-law-federal-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