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212121"/>
        </w:rPr>
      </w:pPr>
      <w:r w:rsidDel="00000000" w:rsidR="00000000" w:rsidRPr="00000000">
        <w:rPr>
          <w:b w:val="1"/>
          <w:color w:val="212121"/>
          <w:sz w:val="28"/>
          <w:szCs w:val="28"/>
          <w:rtl w:val="0"/>
        </w:rPr>
        <w:t xml:space="preserve">TEACHER CRITICAL CONTENT NOTES</w:t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121"/>
                <w:sz w:val="24"/>
                <w:szCs w:val="24"/>
                <w:rtl w:val="0"/>
              </w:rPr>
              <w:t xml:space="preserve">BENCHMARK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12121"/>
                <w:rtl w:val="0"/>
              </w:rPr>
              <w:t xml:space="preserve">SS.3.CG.2.4 </w:t>
            </w:r>
            <w:r w:rsidDel="00000000" w:rsidR="00000000" w:rsidRPr="00000000">
              <w:rPr>
                <w:i w:val="1"/>
                <w:color w:val="212121"/>
                <w:rtl w:val="0"/>
              </w:rPr>
              <w:t xml:space="preserve">Recognize symbols, individuals, documents, and events that represent the United States.</w:t>
            </w:r>
            <w:r w:rsidDel="00000000" w:rsidR="00000000" w:rsidRPr="00000000">
              <w:rPr>
                <w:i w:val="1"/>
                <w:color w:val="2121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121"/>
                <w:sz w:val="24"/>
                <w:szCs w:val="24"/>
                <w:rtl w:val="0"/>
              </w:rPr>
              <w:t xml:space="preserve">BENCHMARK CLARIFICATIONS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0" w:afterAutospacing="0" w:before="0" w:line="288" w:lineRule="auto"/>
              <w:ind w:left="720" w:hanging="360"/>
              <w:rPr>
                <w:color w:val="212121"/>
                <w:u w:val="none"/>
              </w:rPr>
            </w:pPr>
            <w:r w:rsidDel="00000000" w:rsidR="00000000" w:rsidRPr="00000000">
              <w:rPr>
                <w:color w:val="212121"/>
                <w:rtl w:val="0"/>
              </w:rPr>
              <w:t xml:space="preserve">Students will recognize Mount Rushmore, Uncle Sam, and the Washington Monument as symbols that represent the United States.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afterAutospacing="0" w:before="0" w:beforeAutospacing="0" w:line="288" w:lineRule="auto"/>
              <w:ind w:left="720" w:hanging="360"/>
              <w:rPr>
                <w:color w:val="212121"/>
                <w:u w:val="none"/>
              </w:rPr>
            </w:pPr>
            <w:r w:rsidDel="00000000" w:rsidR="00000000" w:rsidRPr="00000000">
              <w:rPr>
                <w:color w:val="212121"/>
                <w:rtl w:val="0"/>
              </w:rPr>
              <w:t xml:space="preserve">Students will recognize James Madison, Alexander Hamilton, Booker T. Washington, and Susan B. Anthony as individuals who represent the United States.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afterAutospacing="0" w:before="0" w:beforeAutospacing="0" w:line="288" w:lineRule="auto"/>
              <w:ind w:left="720" w:hanging="360"/>
              <w:rPr>
                <w:color w:val="212121"/>
                <w:u w:val="none"/>
              </w:rPr>
            </w:pPr>
            <w:r w:rsidDel="00000000" w:rsidR="00000000" w:rsidRPr="00000000">
              <w:rPr>
                <w:color w:val="212121"/>
                <w:rtl w:val="0"/>
              </w:rPr>
              <w:t xml:space="preserve">Students will recognize the U.S. Constitution as a document that represents the United States.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before="0" w:beforeAutospacing="0" w:line="288" w:lineRule="auto"/>
              <w:ind w:left="720" w:hanging="360"/>
              <w:rPr>
                <w:color w:val="212121"/>
                <w:u w:val="none"/>
              </w:rPr>
            </w:pPr>
            <w:r w:rsidDel="00000000" w:rsidR="00000000" w:rsidRPr="00000000">
              <w:rPr>
                <w:color w:val="212121"/>
                <w:rtl w:val="0"/>
              </w:rPr>
              <w:t xml:space="preserve">Students will recognize the Constitutional Convention (May 1787- September 1787) and the signing of the U.S. Constitution (September 17, 1787) as events that represent the United States. 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121"/>
                <w:sz w:val="24"/>
                <w:szCs w:val="24"/>
                <w:rtl w:val="0"/>
              </w:rPr>
              <w:t xml:space="preserve">WHERE STUDENTS HAVE BEEN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2nd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.2.CG.2.4 Recognize symbols, individuals, and documents that represent the United States.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recognize the U.S. Capitol, the White House, the U.S. Supreme Court building, and the Statue of LIberty as symbols representing the United States.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recognize Rosa Parks and Thomas Jefferson as individuals who represent the United States.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recognize the Declaration of Independence as a document that represents the United States.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WHERE STUDENTS ARE GOING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SS.5.CG.2.6 Explain symbols and documents that represent the United States.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recognize the Great Seal of the United States and the Star-Spangled Banner as symbols that represent the United States.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recognize the U.S. Constitution (specifically the Bill of Rights) and the Emancipation Proclamation as documents that represent the United States.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0.976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TIMING/PACING 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This benchmark may be taught at any time during the school year.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Every benchmark clarification does not need to be taught at the same time.  They may be broken up and taught over the course of the school year. 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This benchmark may be taught with SS.3.CG.2.5 which connects to symbols associated with Florida.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Some of the symbols, individuals, documents, and events listed in the benchmark clarifications may be taught with SS.3.CG.2.3 as they overlap with patriotic holidays/observances.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Benchmark clarifications #3 and #4 may be taught alongside SS.3.CG.1.1 and SS.3.CG.1.2 to create a unit </w:t>
            </w:r>
            <w:r w:rsidDel="00000000" w:rsidR="00000000" w:rsidRPr="00000000">
              <w:rPr>
                <w:rtl w:val="0"/>
              </w:rPr>
              <w:t xml:space="preserve">on the</w:t>
            </w:r>
            <w:r w:rsidDel="00000000" w:rsidR="00000000" w:rsidRPr="00000000">
              <w:rPr>
                <w:rtl w:val="0"/>
              </w:rPr>
              <w:t xml:space="preserve"> U.S. Constitution and foundations of government.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UNDERSTANDING THE BENCHMARK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What to know: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The benchmark cognitive demand is a lower DOK with recognize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Recognize can mean: name, associate, match, or list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U.S. symbols are things that have special meaning to the United States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highlight w:val="white"/>
                <w:rtl w:val="0"/>
              </w:rPr>
              <w:t xml:space="preserve">Symbols help students visualize important representations associated with the United States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highlight w:val="white"/>
                <w:rtl w:val="0"/>
              </w:rPr>
              <w:t xml:space="preserve">Recognizing historical figures requires students to have a generalized  understanding of the individuals and their significance in U.S. history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National monuments (e.g. constructed, geographic, protected areas etc.) are offered permanent protection by Congress or by the president through the use of the Antiquities Act of 1906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Main concepts to teach: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The definition/meaning of a symbol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U.S. symbols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Mount Rushmore, Uncle Sam, Washington Monument, and U.S. Constitution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Important U.S. events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Constitutional Convention, signing of the U.S. Constitution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Brief biographical information that focuses on the historical contributions of James Madison, Alexander Hamilton, Booker T. Washington, and Susan B. Anthony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Mount Rushmore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Located in South Dakota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George Washington, Thomas Jefferson, Theodore Roosevelt, and Abraham Lincoln carved into the Black Hills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Symbolizes the founding, expansion, preservation, and unification of the United States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Uncle Sam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Cartoon used to represent the United States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Named after Samuel Wilson for his help in the War of 1812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Popularized by cartoonists Thomas Nast and James Flagg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Typically drawn with red, white, and blue colors, stars and stripes in outfit, and a top hat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Adopted as a national symbol in 1961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The Washington Monument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Located in Washington D.C.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Built to honor George Washington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James Madison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4th President of the United States, author of the Federalist Papers, known as “The Father of the U.S. Constitution”, served as President Jefferson’s Secretary of State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Alexander Hamilton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First Secretary of the Treasury, author of the Federalist Papers, Founding Father, New York delegate to the Constitutional Convention, on the $10 bill 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Booker T. Washington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Educator, reformer, influential spokesman for Black Americans from 1895-1915, principal at Tuskegee Institute, civil rights activist, writer, orator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Susan B. Anthony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Women’s rights activist, made public speeches against slavery, co-founded the American Equal Rights Association and the National Women’s Suffrage Association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U.S. Constitution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An agreed-upon set of rules or laws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Supreme law of the land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Starts with “We the People”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Sets up a constitutional republic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Constitutional Convention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May 1787-September 1787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Located in Philadelphia, Pennsylvania (Independence Hall)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55 delegates from all states except Rhode Island were in attendance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Original purpose was to revise the Articles of Confederation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Consisted of many debates and compromises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Signing the U.S. Constitution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September 17, 1787 in Philadelphia, PA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39 delegates signed, from 12 representing states (no Rhode Island representation)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Established the new framework for the U.S. government </w:t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BACKGROUND KNOWLEDGE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 on symbols that represent the United States: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Park Service: Mount Rushmore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Britannica: Uncle Sam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Park Service: Washington Monument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 on individuals that represent the United States: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 White House: James Madison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Britannica: Alexander Hamilton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Britannica: Booker T. Washington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Women's History: Susan B. Anthony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 on events that represent the United States: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Britannica: Constitutional Convention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Mount Vernon: Constitutional Convention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House of Representatives: Who Signed the U.S. Constitution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Constitution Center: Signing the Constitution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 on documents that represent the United States: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Archives: The U.S. Constitution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Kids Britannica: U.S. Constitution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White House: The Constitution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 on laws/statute regarding the teaching of diverse individuals and groups: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Florida State Statute 1003.42: Required Instruction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footerReference r:id="rId2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widowControl w:val="0"/>
      <w:tabs>
        <w:tab w:val="left" w:leader="none" w:pos="560"/>
        <w:tab w:val="left" w:leader="none" w:pos="1120"/>
        <w:tab w:val="left" w:leader="none" w:pos="1680"/>
        <w:tab w:val="left" w:leader="none" w:pos="2240"/>
        <w:tab w:val="left" w:leader="none" w:pos="2800"/>
        <w:tab w:val="left" w:leader="none" w:pos="3360"/>
        <w:tab w:val="left" w:leader="none" w:pos="3920"/>
        <w:tab w:val="left" w:leader="none" w:pos="4480"/>
        <w:tab w:val="left" w:leader="none" w:pos="5040"/>
        <w:tab w:val="left" w:leader="none" w:pos="5600"/>
        <w:tab w:val="left" w:leader="none" w:pos="6160"/>
        <w:tab w:val="left" w:leader="none" w:pos="6720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inline distB="114300" distT="114300" distL="114300" distR="114300">
          <wp:extent cx="2043832" cy="795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832" cy="795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leg.state.fl.us/statutes/index.cfm?App_mode=Display_Statute&amp;URL=1000-1099/1003/Sections/1003.42.html" TargetMode="External"/><Relationship Id="rId11" Type="http://schemas.openxmlformats.org/officeDocument/2006/relationships/hyperlink" Target="https://www.britannica.com/biography/Booker-T-Washington" TargetMode="External"/><Relationship Id="rId22" Type="http://schemas.openxmlformats.org/officeDocument/2006/relationships/header" Target="header2.xml"/><Relationship Id="rId10" Type="http://schemas.openxmlformats.org/officeDocument/2006/relationships/hyperlink" Target="https://www.britannica.com/biography/Alexander-Hamilton-United-States-statesman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britannica.com/event/Constitutional-Convention" TargetMode="External"/><Relationship Id="rId12" Type="http://schemas.openxmlformats.org/officeDocument/2006/relationships/hyperlink" Target="https://www.womenshistory.org/education-resources/biographies/susan-b-anthony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hitehouse.gov/about-the-white-house/presidents/james-madison/" TargetMode="External"/><Relationship Id="rId15" Type="http://schemas.openxmlformats.org/officeDocument/2006/relationships/hyperlink" Target="https://history.house.gov/People/Continental-Congress/Signatories/" TargetMode="External"/><Relationship Id="rId14" Type="http://schemas.openxmlformats.org/officeDocument/2006/relationships/hyperlink" Target="https://www.mountvernon.org/library/digitalhistory/digital-encyclopedia/article/constitutional-convention/" TargetMode="External"/><Relationship Id="rId17" Type="http://schemas.openxmlformats.org/officeDocument/2006/relationships/hyperlink" Target="https://www.archives.gov/founding-docs/constitution-transcript" TargetMode="External"/><Relationship Id="rId16" Type="http://schemas.openxmlformats.org/officeDocument/2006/relationships/hyperlink" Target="https://constitutioncenter.org/the-constitution#:~:text=On%20September%2017%2C%201787%2C%20a,in%20his%20last%20great%20speech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whitehouse.gov/about-the-white-house/our-government/the-constitution/" TargetMode="External"/><Relationship Id="rId6" Type="http://schemas.openxmlformats.org/officeDocument/2006/relationships/hyperlink" Target="https://www.nps.gov/moru/index.htm" TargetMode="External"/><Relationship Id="rId18" Type="http://schemas.openxmlformats.org/officeDocument/2006/relationships/hyperlink" Target="https://kids.britannica.com/kids/article/United-States-Constitution/353886" TargetMode="External"/><Relationship Id="rId7" Type="http://schemas.openxmlformats.org/officeDocument/2006/relationships/hyperlink" Target="https://www.britannica.com/topic/Uncle-Sam" TargetMode="External"/><Relationship Id="rId8" Type="http://schemas.openxmlformats.org/officeDocument/2006/relationships/hyperlink" Target="https://www.nps.gov/wamo/index.ht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