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What Were the Townshend Acts? Viewing Guide 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Use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the video to answer the following questions.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The “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0"/>
            <w:szCs w:val="20"/>
            <w:u w:val="single"/>
            <w:rtl w:val="0"/>
          </w:rPr>
          <w:t xml:space="preserve">What were the Townshend Acts?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” video discusses the taxes that Britain was levying on the colonies after the French and Indian War.</w:t>
      </w:r>
      <w:r w:rsidDel="00000000" w:rsidR="00000000" w:rsidRPr="00000000">
        <w:rPr>
          <w:rtl w:val="0"/>
        </w:rPr>
      </w:r>
    </w:p>
    <w:tbl>
      <w:tblPr>
        <w:tblStyle w:val="Table1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00"/>
        <w:gridCol w:w="7200"/>
        <w:tblGridChange w:id="0">
          <w:tblGrid>
            <w:gridCol w:w="7200"/>
            <w:gridCol w:w="72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WHO?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Who are the sides described in the video?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WHAT?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Explain what’s happening in the video using specific examples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WHEN? 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When did this event take place?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WHY? 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Why are the events in the video happening? 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400"/>
        <w:tblGridChange w:id="0">
          <w:tblGrid>
            <w:gridCol w:w="14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SIGNIFICANCE?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How are the events changing the relationship between the colonists and Britain? 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19163" cy="36617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9163" cy="3661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FKGSda3sEVU" TargetMode="Externa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