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Voting Rights Timeline</w:t>
      </w:r>
    </w:p>
    <w:p w:rsidR="00000000" w:rsidDel="00000000" w:rsidP="00000000" w:rsidRDefault="00000000" w:rsidRPr="00000000" w14:paraId="00000002">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sz w:val="24"/>
          <w:szCs w:val="24"/>
          <w:rtl w:val="0"/>
        </w:rPr>
        <w:t xml:space="preserve"> Underline the text in the “Voting &amp; Amendment Information” column that helps you summarize the text or event that is being described. Write a complete sentence that summarizes the amendment or event in the “Summary of Text” column. Based on the information provided, describe who can and cannot vote. </w:t>
      </w:r>
    </w:p>
    <w:p w:rsidR="00000000" w:rsidDel="00000000" w:rsidP="00000000" w:rsidRDefault="00000000" w:rsidRPr="00000000" w14:paraId="00000003">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gray boxes for 1964, 1965, and 1968 will be completed at the end of the activity after reading, “</w:t>
      </w:r>
      <w:r w:rsidDel="00000000" w:rsidR="00000000" w:rsidRPr="00000000">
        <w:rPr>
          <w:rFonts w:ascii="Times New Roman" w:cs="Times New Roman" w:eastAsia="Times New Roman" w:hAnsi="Times New Roman"/>
          <w:sz w:val="24"/>
          <w:szCs w:val="24"/>
          <w:rtl w:val="0"/>
        </w:rPr>
        <w:t xml:space="preserve">The Journey for Civil Rights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4">
      <w:pPr>
        <w:spacing w:line="240" w:lineRule="auto"/>
        <w:ind w:left="0" w:firstLine="0"/>
        <w:rPr>
          <w:rFonts w:ascii="Times New Roman" w:cs="Times New Roman" w:eastAsia="Times New Roman" w:hAnsi="Times New Roman"/>
          <w:sz w:val="24"/>
          <w:szCs w:val="24"/>
        </w:rPr>
      </w:pPr>
      <w:r w:rsidDel="00000000" w:rsidR="00000000" w:rsidRPr="00000000">
        <w:rPr>
          <w:rtl w:val="0"/>
        </w:rPr>
      </w:r>
    </w:p>
    <w:tbl>
      <w:tblPr>
        <w:tblStyle w:val="Table1"/>
        <w:tblW w:w="14760.0" w:type="dxa"/>
        <w:jc w:val="center"/>
        <w:tblBorders>
          <w:top w:color="000000" w:space="0" w:sz="0" w:val="nil"/>
          <w:left w:color="000000" w:space="0" w:sz="0" w:val="nil"/>
          <w:bottom w:color="000000" w:space="0" w:sz="0" w:val="nil"/>
          <w:right w:color="000000" w:space="0" w:sz="0" w:val="nil"/>
        </w:tblBorders>
        <w:tblLayout w:type="fixed"/>
        <w:tblLook w:val="0000"/>
      </w:tblPr>
      <w:tblGrid>
        <w:gridCol w:w="720"/>
        <w:gridCol w:w="5655"/>
        <w:gridCol w:w="4425"/>
        <w:gridCol w:w="1995"/>
        <w:gridCol w:w="1965"/>
        <w:tblGridChange w:id="0">
          <w:tblGrid>
            <w:gridCol w:w="720"/>
            <w:gridCol w:w="5655"/>
            <w:gridCol w:w="4425"/>
            <w:gridCol w:w="1995"/>
            <w:gridCol w:w="1965"/>
          </w:tblGrid>
        </w:tblGridChange>
      </w:tblGrid>
      <w:tr>
        <w:trPr>
          <w:cantSplit w:val="0"/>
          <w:trHeight w:val="286" w:hRule="atLeast"/>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Date</w:t>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0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Voting &amp; Amendment Information </w:t>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0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Summary of Text </w:t>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0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 Can Vote?</w:t>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0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 Cannot Vote?</w:t>
            </w:r>
          </w:p>
        </w:tc>
      </w:tr>
      <w:tr>
        <w:trPr>
          <w:cantSplit w:val="0"/>
          <w:trHeight w:val="66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1788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adopted. There is no agreement on a national standard for voting rights; states are given the power to regulate their own voting laws. In most cases, voting remains in the hands of white male landowners. </w:t>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66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1865</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Neither slavery nor involuntary servitude, except as a punishment for crime whereof the party shall have been duly convicted, shall exist within the United States, or any place subject to their jurisdiction.</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1868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1. 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any person within its jurisdiction the equal protection of the laws. </w:t>
            </w:r>
          </w:p>
          <w:p w:rsidR="00000000" w:rsidDel="00000000" w:rsidP="00000000" w:rsidRDefault="00000000" w:rsidRPr="00000000" w14:paraId="00000019">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Section 2 a voter is defined as males, being at least twenty-one years of age, and citizens of the United States.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1870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1. The right of citizens of the United States to vote shall not be denied or abridged by the United States or by any State on account of race, color, or previous condition of servitude.</w:t>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1920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citizens of the United States to vote shall not be denied or abridged by the United States or by any State on account of sex.</w:t>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42.929687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1924</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passes legislation that grants citizenship to all Native Americans born within the territorial limits of the country.</w:t>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1964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1. The right of citizens of the United States to vote in any primary or other election for President or Vice President, for electors for President or Vice President, or for Senator or Representative in Congress, shall not be denied or abridged by the United States or any State by reason of failure to pay poll tax or other tax.</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shd w:fill="efefef" w:val="clear"/>
          </w:tcPr>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1964</w:t>
            </w:r>
          </w:p>
        </w:tc>
        <w:tc>
          <w:tcPr>
            <w:gridSpan w:val="4"/>
            <w:tcBorders>
              <w:top w:color="000000" w:space="0" w:sz="8" w:val="single"/>
              <w:left w:color="000000" w:space="0" w:sz="8" w:val="single"/>
              <w:bottom w:color="000000" w:space="0" w:sz="8" w:val="single"/>
              <w:right w:color="000000" w:space="0" w:sz="8" w:val="single"/>
            </w:tcBorders>
            <w:shd w:fill="efefef" w:val="clear"/>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shd w:fill="efefef" w:val="clear"/>
          </w:tcPr>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1965</w:t>
            </w:r>
          </w:p>
        </w:tc>
        <w:tc>
          <w:tcPr>
            <w:gridSpan w:val="4"/>
            <w:tcBorders>
              <w:top w:color="000000" w:space="0" w:sz="8" w:val="single"/>
              <w:left w:color="000000" w:space="0" w:sz="8" w:val="single"/>
              <w:bottom w:color="000000" w:space="0" w:sz="8" w:val="single"/>
              <w:right w:color="000000" w:space="0" w:sz="8" w:val="single"/>
            </w:tcBorders>
            <w:shd w:fill="efefef" w:val="clear"/>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shd w:fill="efefef" w:val="clear"/>
          </w:tcPr>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1968</w:t>
            </w:r>
          </w:p>
        </w:tc>
        <w:tc>
          <w:tcPr>
            <w:gridSpan w:val="4"/>
            <w:tcBorders>
              <w:top w:color="000000" w:space="0" w:sz="8" w:val="single"/>
              <w:left w:color="000000" w:space="0" w:sz="8" w:val="single"/>
              <w:bottom w:color="000000" w:space="0" w:sz="8" w:val="single"/>
              <w:right w:color="000000" w:space="0" w:sz="8" w:val="single"/>
            </w:tcBorders>
            <w:shd w:fill="efefef" w:val="clear"/>
          </w:tcPr>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1971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1. The right of citizens of the United States, who are eighteen years of age or older, to vote shall not be denied or abridged by the United States or by any State on account of age.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5D">
      <w:pPr>
        <w:spacing w:line="240" w:lineRule="auto"/>
        <w:rPr>
          <w:color w:val="1155cc"/>
        </w:rPr>
      </w:pPr>
      <w:r w:rsidDel="00000000" w:rsidR="00000000" w:rsidRPr="00000000">
        <w:rPr>
          <w:rFonts w:ascii="Times New Roman" w:cs="Times New Roman" w:eastAsia="Times New Roman" w:hAnsi="Times New Roman"/>
          <w:sz w:val="16"/>
          <w:szCs w:val="16"/>
          <w:rtl w:val="0"/>
        </w:rPr>
        <w:t xml:space="preserve">Source:</w:t>
      </w:r>
      <w:r w:rsidDel="00000000" w:rsidR="00000000" w:rsidRPr="00000000">
        <w:rPr>
          <w:rFonts w:ascii="Times New Roman" w:cs="Times New Roman" w:eastAsia="Times New Roman" w:hAnsi="Times New Roman"/>
          <w:color w:val="1155cc"/>
          <w:sz w:val="16"/>
          <w:szCs w:val="16"/>
          <w:rtl w:val="0"/>
        </w:rPr>
        <w:t xml:space="preserve"> </w:t>
      </w:r>
      <w:hyperlink r:id="rId6">
        <w:r w:rsidDel="00000000" w:rsidR="00000000" w:rsidRPr="00000000">
          <w:rPr>
            <w:rFonts w:ascii="Times New Roman" w:cs="Times New Roman" w:eastAsia="Times New Roman" w:hAnsi="Times New Roman"/>
            <w:color w:val="1155cc"/>
            <w:sz w:val="16"/>
            <w:szCs w:val="16"/>
            <w:u w:val="single"/>
            <w:rtl w:val="0"/>
          </w:rPr>
          <w:t xml:space="preserve">https://www.history.com/news/voting-rights-timeline</w:t>
        </w:r>
      </w:hyperlink>
      <w:r w:rsidDel="00000000" w:rsidR="00000000" w:rsidRPr="00000000">
        <w:rPr>
          <w:rFonts w:ascii="Times New Roman" w:cs="Times New Roman" w:eastAsia="Times New Roman" w:hAnsi="Times New Roman"/>
          <w:color w:val="1155cc"/>
          <w:sz w:val="16"/>
          <w:szCs w:val="16"/>
          <w:rtl w:val="0"/>
        </w:rPr>
        <w:t xml:space="preserve"> </w:t>
      </w:r>
      <w:r w:rsidDel="00000000" w:rsidR="00000000" w:rsidRPr="00000000">
        <w:rPr>
          <w:rtl w:val="0"/>
        </w:rPr>
      </w:r>
    </w:p>
    <w:sectPr>
      <w:footerReference r:id="rId7"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history.com/news/voting-rights-timeline"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