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28"/>
          <w:szCs w:val="28"/>
          <w:u w:val="single"/>
          <w:rtl w:val="0"/>
        </w:rPr>
        <w:t xml:space="preserve">State &amp; Local Government</w:t>
      </w:r>
      <w:r w:rsidDel="00000000" w:rsidR="00000000" w:rsidRPr="00000000">
        <w:rPr>
          <w:rtl w:val="0"/>
        </w:rPr>
      </w:r>
    </w:p>
    <w:p w:rsidR="00000000" w:rsidDel="00000000" w:rsidP="00000000" w:rsidRDefault="00000000" w:rsidRPr="00000000" w14:paraId="00000002">
      <w:pPr>
        <w:tabs>
          <w:tab w:val="left" w:leader="none" w:pos="3280"/>
          <w:tab w:val="center" w:leader="none" w:pos="648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U.S. Constitution: The Tenth Amendment </w:t>
      </w:r>
    </w:p>
    <w:p w:rsidR="00000000" w:rsidDel="00000000" w:rsidP="00000000" w:rsidRDefault="00000000" w:rsidRPr="00000000" w14:paraId="00000003">
      <w:pPr>
        <w:widowControl w:val="0"/>
        <w:rPr>
          <w:rFonts w:ascii="Times New Roman" w:cs="Times New Roman" w:eastAsia="Times New Roman" w:hAnsi="Times New Roman"/>
          <w:b w:val="1"/>
          <w:sz w:val="24"/>
          <w:szCs w:val="24"/>
        </w:rPr>
      </w:pPr>
      <w:r w:rsidDel="00000000" w:rsidR="00000000" w:rsidRPr="00000000">
        <w:rPr>
          <w:rtl w:val="0"/>
        </w:rPr>
      </w:r>
    </w:p>
    <w:tbl>
      <w:tblPr>
        <w:tblStyle w:val="Table1"/>
        <w:tblW w:w="131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30"/>
        <w:gridCol w:w="6540"/>
        <w:tblGridChange w:id="0">
          <w:tblGrid>
            <w:gridCol w:w="6630"/>
            <w:gridCol w:w="6540"/>
          </w:tblGrid>
        </w:tblGridChange>
      </w:tblGrid>
      <w:tr>
        <w:trPr>
          <w:cantSplit w:val="0"/>
          <w:tblHeader w:val="0"/>
        </w:trPr>
        <w:tc>
          <w:tcPr>
            <w:gridSpan w:val="2"/>
            <w:shd w:fill="auto" w:val="clear"/>
          </w:tcPr>
          <w:p w:rsidR="00000000" w:rsidDel="00000000" w:rsidP="00000000" w:rsidRDefault="00000000" w:rsidRPr="00000000" w14:paraId="00000004">
            <w:pPr>
              <w:tabs>
                <w:tab w:val="left" w:leader="none" w:pos="3280"/>
                <w:tab w:val="center" w:leader="none" w:pos="648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Read the text of the 10th amendment to the U.S. Constitution, summarize the text in your own </w:t>
            </w:r>
            <w:r w:rsidDel="00000000" w:rsidR="00000000" w:rsidRPr="00000000">
              <w:rPr>
                <w:rFonts w:ascii="Times New Roman" w:cs="Times New Roman" w:eastAsia="Times New Roman" w:hAnsi="Times New Roman"/>
                <w:sz w:val="24"/>
                <w:szCs w:val="24"/>
                <w:rtl w:val="0"/>
              </w:rPr>
              <w:t xml:space="preserve">words</w:t>
            </w:r>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Pr>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says:</w:t>
            </w:r>
          </w:p>
        </w:tc>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means: </w:t>
            </w:r>
          </w:p>
        </w:tc>
      </w:tr>
      <w:tr>
        <w:trPr>
          <w:cantSplit w:val="0"/>
          <w:trHeight w:val="1103.90625" w:hRule="atLeast"/>
          <w:tblHeader w:val="0"/>
        </w:trPr>
        <w:tc>
          <w:tcPr>
            <w:shd w:fill="auto" w:val="clear"/>
          </w:tcPr>
          <w:p w:rsidR="00000000" w:rsidDel="00000000" w:rsidP="00000000" w:rsidRDefault="00000000" w:rsidRPr="00000000" w14:paraId="0000000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Tenth Amendment </w:t>
            </w:r>
          </w:p>
          <w:p w:rsidR="00000000" w:rsidDel="00000000" w:rsidP="00000000" w:rsidRDefault="00000000" w:rsidRPr="00000000" w14:paraId="0000000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powers not delegated to the United States by the Constitution, nor prohibited by it to the States, are reserved to the States respectively, or to the people.</w:t>
            </w:r>
          </w:p>
        </w:tc>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0B">
      <w:pPr>
        <w:tabs>
          <w:tab w:val="left" w:leader="none" w:pos="3280"/>
          <w:tab w:val="center" w:leader="none" w:pos="6480"/>
        </w:tabs>
        <w:spacing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C">
      <w:pPr>
        <w:tabs>
          <w:tab w:val="left" w:leader="none" w:pos="3280"/>
          <w:tab w:val="center" w:leader="none" w:pos="6480"/>
        </w:tabs>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ab/>
        <w:tab/>
        <w:t xml:space="preserve">Excerpts from the Florida Constitution</w:t>
      </w:r>
    </w:p>
    <w:p w:rsidR="00000000" w:rsidDel="00000000" w:rsidP="00000000" w:rsidRDefault="00000000" w:rsidRPr="00000000" w14:paraId="0000000D">
      <w:pPr>
        <w:widowControl w:val="0"/>
        <w:rPr>
          <w:rFonts w:ascii="Times New Roman" w:cs="Times New Roman" w:eastAsia="Times New Roman" w:hAnsi="Times New Roman"/>
          <w:b w:val="1"/>
          <w:sz w:val="24"/>
          <w:szCs w:val="24"/>
        </w:rPr>
      </w:pPr>
      <w:r w:rsidDel="00000000" w:rsidR="00000000" w:rsidRPr="00000000">
        <w:rPr>
          <w:rtl w:val="0"/>
        </w:rPr>
      </w:r>
    </w:p>
    <w:tbl>
      <w:tblPr>
        <w:tblStyle w:val="Table2"/>
        <w:tblW w:w="131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30"/>
        <w:gridCol w:w="6540"/>
        <w:tblGridChange w:id="0">
          <w:tblGrid>
            <w:gridCol w:w="6630"/>
            <w:gridCol w:w="6540"/>
          </w:tblGrid>
        </w:tblGridChange>
      </w:tblGrid>
      <w:tr>
        <w:trPr>
          <w:cantSplit w:val="0"/>
          <w:tblHeader w:val="0"/>
        </w:trPr>
        <w:tc>
          <w:tcPr>
            <w:gridSpan w:val="2"/>
            <w:shd w:fill="auto" w:val="clear"/>
          </w:tcPr>
          <w:p w:rsidR="00000000" w:rsidDel="00000000" w:rsidP="00000000" w:rsidRDefault="00000000" w:rsidRPr="00000000" w14:paraId="0000000E">
            <w:pPr>
              <w:tabs>
                <w:tab w:val="left" w:leader="none" w:pos="3280"/>
                <w:tab w:val="center" w:leader="none" w:pos="648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For each excerpt of the Florida Constitution, summarize the text in your own </w:t>
            </w:r>
            <w:r w:rsidDel="00000000" w:rsidR="00000000" w:rsidRPr="00000000">
              <w:rPr>
                <w:rFonts w:ascii="Times New Roman" w:cs="Times New Roman" w:eastAsia="Times New Roman" w:hAnsi="Times New Roman"/>
                <w:sz w:val="24"/>
                <w:szCs w:val="24"/>
                <w:rtl w:val="0"/>
              </w:rPr>
              <w:t xml:space="preserve">words</w:t>
            </w:r>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Pr>
          <w:p w:rsidR="00000000" w:rsidDel="00000000" w:rsidP="00000000" w:rsidRDefault="00000000" w:rsidRPr="00000000" w14:paraId="0000001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says:</w:t>
            </w:r>
          </w:p>
        </w:tc>
        <w:tc>
          <w:tcPr>
            <w:shd w:fill="auto" w:val="clear"/>
          </w:tcPr>
          <w:p w:rsidR="00000000" w:rsidDel="00000000" w:rsidP="00000000" w:rsidRDefault="00000000" w:rsidRPr="00000000" w14:paraId="000000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it means: </w:t>
            </w:r>
          </w:p>
        </w:tc>
      </w:tr>
      <w:tr>
        <w:trPr>
          <w:cantSplit w:val="0"/>
          <w:trHeight w:val="1103.90625" w:hRule="atLeast"/>
          <w:tblHeader w:val="0"/>
        </w:trPr>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Preamble</w:t>
            </w:r>
          </w:p>
          <w:p w:rsidR="00000000" w:rsidDel="00000000" w:rsidP="00000000" w:rsidRDefault="00000000" w:rsidRPr="00000000" w14:paraId="0000001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We, the people of the State of Florida, being grateful to Almighty God for our constitutional liberty, in order to secure its benefits, perfect our government, insure domestic tranquility, maintain public order, and guarantee equal civil and political rights to all, do ordain and establish this constitution.</w:t>
            </w:r>
            <w:r w:rsidDel="00000000" w:rsidR="00000000" w:rsidRPr="00000000">
              <w:rPr>
                <w:rtl w:val="0"/>
              </w:rPr>
            </w:r>
          </w:p>
        </w:tc>
        <w:tc>
          <w:tcPr>
            <w:shd w:fill="auto" w:val="clear"/>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15">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II, Section 3</w:t>
            </w:r>
          </w:p>
          <w:p w:rsidR="00000000" w:rsidDel="00000000" w:rsidP="00000000" w:rsidRDefault="00000000" w:rsidRPr="00000000" w14:paraId="00000016">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The powers of the state government shall be divided into legislative, executive and judicial branches. No person belonging to one branch shall exercise any powers appertaining to either of the other branches unless expressly provided herein.</w:t>
            </w:r>
          </w:p>
        </w:tc>
        <w:tc>
          <w:tcPr>
            <w:shd w:fill="auto" w:val="clear"/>
          </w:tcPr>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18">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IX, Section 1</w:t>
            </w:r>
          </w:p>
          <w:p w:rsidR="00000000" w:rsidDel="00000000" w:rsidP="00000000" w:rsidRDefault="00000000" w:rsidRPr="00000000" w14:paraId="0000001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The education of children is a fundamental value of the people of the State of Florida. It is, therefore, a paramount duty of the state to make adequate provision for the education of all children residing within its borders.</w:t>
            </w:r>
            <w:r w:rsidDel="00000000" w:rsidR="00000000" w:rsidRPr="00000000">
              <w:rPr>
                <w:rtl w:val="0"/>
              </w:rPr>
            </w:r>
          </w:p>
        </w:tc>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1B">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VIII, Section 1 (a) </w:t>
            </w:r>
          </w:p>
          <w:p w:rsidR="00000000" w:rsidDel="00000000" w:rsidP="00000000" w:rsidRDefault="00000000" w:rsidRPr="00000000" w14:paraId="0000001C">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The state shall be divided by law into political subdivisions called counties. Counties may be created, abolished or changed by law, with provision for payment or apportionment of the public debt.</w:t>
            </w:r>
          </w:p>
        </w:tc>
        <w:tc>
          <w:tcPr>
            <w:shd w:fill="auto" w:val="clear"/>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1E">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VIII, Section 1 (g) </w:t>
            </w:r>
          </w:p>
          <w:p w:rsidR="00000000" w:rsidDel="00000000" w:rsidP="00000000" w:rsidRDefault="00000000" w:rsidRPr="00000000" w14:paraId="0000001F">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Counties operating under county charters shall have all powers of local self-government not inconsistent with general law, or with special law approved by vote of the electors. The governing body of a county operating under a charter may enact county ordinances not inconsistent with general law. The charter shall provide which shall prevail in the event of conflict between county and municipal ordinances.</w:t>
            </w:r>
          </w:p>
        </w:tc>
        <w:tc>
          <w:tcPr>
            <w:shd w:fill="auto" w:val="clear"/>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21">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IV, Section 4</w:t>
            </w:r>
          </w:p>
          <w:p w:rsidR="00000000" w:rsidDel="00000000" w:rsidP="00000000" w:rsidRDefault="00000000" w:rsidRPr="00000000" w14:paraId="00000022">
            <w:pPr>
              <w:shd w:fill="ffffff" w:val="clear"/>
              <w:spacing w:line="240" w:lineRule="auto"/>
              <w:ind w:firstLine="20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(a) Each county shall constitute a school district; provided, two or more contiguous counties, upon vote of the electors of each county pursuant to law, may be combined into one school district. In each school district there shall be a school board composed of five or more members chosen by vote of the electors in a nonpartisan election for appropriately staggered terms of four years, as provided by law.</w:t>
            </w:r>
          </w:p>
          <w:p w:rsidR="00000000" w:rsidDel="00000000" w:rsidP="00000000" w:rsidRDefault="00000000" w:rsidRPr="00000000" w14:paraId="00000023">
            <w:pPr>
              <w:shd w:fill="ffffff" w:val="clear"/>
              <w:spacing w:line="240" w:lineRule="auto"/>
              <w:ind w:firstLine="20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(b) The school board shall operate, control and supervise all free public schools within the school district and determine the rate of school district taxes within the limits prescribed herein. Two or more school districts may operate and finance joint educational programs.</w:t>
            </w:r>
          </w:p>
        </w:tc>
        <w:tc>
          <w:tcPr>
            <w:shd w:fill="auto" w:val="clear"/>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3.90625" w:hRule="atLeast"/>
          <w:tblHeader w:val="0"/>
        </w:trPr>
        <w:tc>
          <w:tcPr>
            <w:shd w:fill="auto" w:val="clear"/>
          </w:tcPr>
          <w:p w:rsidR="00000000" w:rsidDel="00000000" w:rsidP="00000000" w:rsidRDefault="00000000" w:rsidRPr="00000000" w14:paraId="00000026">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Article I, Section 1</w:t>
            </w:r>
          </w:p>
          <w:p w:rsidR="00000000" w:rsidDel="00000000" w:rsidP="00000000" w:rsidRDefault="00000000" w:rsidRPr="00000000" w14:paraId="00000027">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All political power is inherent in the people. The enunciation herein of certain rights shall not be construed to deny or impair others retained by the people.</w:t>
            </w:r>
          </w:p>
        </w:tc>
        <w:tc>
          <w:tcPr>
            <w:shd w:fill="auto" w:val="clear"/>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9">
      <w:pPr>
        <w:keepNext w:val="1"/>
        <w:widowControl w:val="0"/>
        <w:spacing w:after="0"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of Services:</w:t>
      </w:r>
    </w:p>
    <w:tbl>
      <w:tblPr>
        <w:tblStyle w:val="Table3"/>
        <w:tblW w:w="13230.0" w:type="dxa"/>
        <w:jc w:val="left"/>
        <w:tblInd w:w="-1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30"/>
        <w:tblGridChange w:id="0">
          <w:tblGrid>
            <w:gridCol w:w="132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the powers of these levels of government translate into services for the citizens of the state of Florida? </w:t>
            </w:r>
          </w:p>
          <w:p w:rsidR="00000000" w:rsidDel="00000000" w:rsidP="00000000" w:rsidRDefault="00000000" w:rsidRPr="00000000" w14:paraId="0000002B">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keepNext w:val="1"/>
              <w:widowControl w:val="0"/>
              <w:spacing w:line="240" w:lineRule="auto"/>
              <w:ind w:left="0" w:firstLine="0"/>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E">
      <w:pPr>
        <w:keepNext w:val="1"/>
        <w:widowControl w:val="0"/>
        <w:spacing w:after="200" w:line="240" w:lineRule="auto"/>
        <w:ind w:left="0" w:firstLine="0"/>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spacing w:after="200" w:line="276" w:lineRule="auto"/>
      <w:ind w:left="784" w:firstLine="0"/>
      <w:jc w:val="right"/>
      <w:rPr/>
    </w:pPr>
    <w:r w:rsidDel="00000000" w:rsidR="00000000" w:rsidRPr="00000000">
      <w:rPr/>
      <w:drawing>
        <wp:inline distB="114300" distT="114300" distL="114300" distR="114300">
          <wp:extent cx="919163" cy="348941"/>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9163" cy="348941"/>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center"/>
      <w:rPr>
        <w:rFonts w:ascii="Times New Roman" w:cs="Times New Roman" w:eastAsia="Times New Roman" w:hAnsi="Times New Roman"/>
        <w:b w:val="1"/>
        <w:sz w:val="32"/>
        <w:szCs w:val="3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