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Directions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Work together as a class to discuss and reflect on the following questions. Use class notes to help you complete.</w:t>
      </w:r>
      <w:r w:rsidDel="00000000" w:rsidR="00000000" w:rsidRPr="00000000">
        <w:rPr>
          <w:rtl w:val="0"/>
        </w:rPr>
      </w:r>
    </w:p>
    <w:tbl>
      <w:tblPr>
        <w:tblStyle w:val="Table1"/>
        <w:tblW w:w="1375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25"/>
        <w:gridCol w:w="11730"/>
        <w:tblGridChange w:id="0">
          <w:tblGrid>
            <w:gridCol w:w="2025"/>
            <w:gridCol w:w="11730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Historical Sources </w:t>
            </w:r>
          </w:p>
        </w:tc>
      </w:tr>
      <w:tr>
        <w:trPr>
          <w:cantSplit w:val="0"/>
          <w:trHeight w:val="1215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0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3"/>
                <w:szCs w:val="23"/>
                <w:rtl w:val="0"/>
              </w:rPr>
              <w:t xml:space="preserve">Code of Hammurabi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Times New Roman" w:cs="Times New Roman" w:eastAsia="Times New Roman" w:hAnsi="Times New Roman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rtl w:val="0"/>
              </w:rPr>
              <w:t xml:space="preserve">1. What is the Code of Hammurabi? 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06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Times New Roman" w:cs="Times New Roman" w:eastAsia="Times New Roman" w:hAnsi="Times New Roman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rtl w:val="0"/>
              </w:rPr>
              <w:t xml:space="preserve">2. What is the connection between the Code of Hammurabi and the U.S. Constitution?</w:t>
            </w:r>
          </w:p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Times New Roman" w:cs="Times New Roman" w:eastAsia="Times New Roman" w:hAnsi="Times New Roman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Times New Roman" w:cs="Times New Roman" w:eastAsia="Times New Roman" w:hAnsi="Times New Roman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Times New Roman" w:cs="Times New Roman" w:eastAsia="Times New Roman" w:hAnsi="Times New Roman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3"/>
                <w:szCs w:val="23"/>
                <w:rtl w:val="0"/>
              </w:rPr>
              <w:t xml:space="preserve">Magna Carta</w:t>
            </w:r>
          </w:p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imes New Roman" w:cs="Times New Roman" w:eastAsia="Times New Roman" w:hAnsi="Times New Roman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rtl w:val="0"/>
              </w:rPr>
              <w:t xml:space="preserve">Notes from Class Discussion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0E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Times New Roman" w:cs="Times New Roman" w:eastAsia="Times New Roman" w:hAnsi="Times New Roman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14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rtl w:val="0"/>
              </w:rPr>
              <w:t xml:space="preserve">1. "No freeman shall be taken, imprisoned, … nor will We proceed against or prosecute him, except by the lawful judgment of his peers and by the law of the land."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16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imes New Roman" w:cs="Times New Roman" w:eastAsia="Times New Roman" w:hAnsi="Times New Roman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imes New Roman" w:cs="Times New Roman" w:eastAsia="Times New Roman" w:hAnsi="Times New Roman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1A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rtl w:val="0"/>
              </w:rPr>
              <w:t xml:space="preserve">2. "… to no one will We deny or delay, right or justice."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 New Roman" w:cs="Times New Roman" w:eastAsia="Times New Roman" w:hAnsi="Times New Roman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3"/>
                <w:szCs w:val="23"/>
                <w:rtl w:val="0"/>
              </w:rPr>
              <w:t xml:space="preserve">Summary Statement about Historical Sources of Law &amp; the U.S. Constitution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Times New Roman" w:cs="Times New Roman" w:eastAsia="Times New Roman" w:hAnsi="Times New Roman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Times New Roman" w:cs="Times New Roman" w:eastAsia="Times New Roman" w:hAnsi="Times New Roman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Times New Roman" w:cs="Times New Roman" w:eastAsia="Times New Roman" w:hAnsi="Times New Roman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Times New Roman" w:cs="Times New Roman" w:eastAsia="Times New Roman" w:hAnsi="Times New Roman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Directions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Read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Sources of Law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to understand the different sources of law. Mark text that helps you define the civics content vocabulary terms and then define the terms in your own words below. </w:t>
      </w:r>
      <w:r w:rsidDel="00000000" w:rsidR="00000000" w:rsidRPr="00000000">
        <w:rPr>
          <w:rtl w:val="0"/>
        </w:rPr>
      </w:r>
    </w:p>
    <w:tbl>
      <w:tblPr>
        <w:tblStyle w:val="Table2"/>
        <w:tblW w:w="1414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36"/>
        <w:gridCol w:w="12312"/>
        <w:tblGridChange w:id="0">
          <w:tblGrid>
            <w:gridCol w:w="1836"/>
            <w:gridCol w:w="12312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Sources of Law </w:t>
            </w:r>
          </w:p>
        </w:tc>
      </w:tr>
      <w:tr>
        <w:trPr>
          <w:cantSplit w:val="0"/>
          <w:trHeight w:val="124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Constitutional Law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Statutory Law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63.9062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Regulations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6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Case Law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Common Law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Natural Law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Summary Statement about Sources of Law: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spacing w:line="240" w:lineRule="auto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Directions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Read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Types of Law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adapted from iCivics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to understand the different types of law. Mark text that helps you define the civics content vocabulary terms and then define the terms in your own words below.</w:t>
      </w:r>
      <w:r w:rsidDel="00000000" w:rsidR="00000000" w:rsidRPr="00000000">
        <w:rPr>
          <w:rtl w:val="0"/>
        </w:rPr>
      </w:r>
    </w:p>
    <w:tbl>
      <w:tblPr>
        <w:tblStyle w:val="Table3"/>
        <w:tblW w:w="1414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08"/>
        <w:gridCol w:w="12240"/>
        <w:tblGridChange w:id="0">
          <w:tblGrid>
            <w:gridCol w:w="1908"/>
            <w:gridCol w:w="12240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Types of Law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Civil Law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1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Constitutional Law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3"/>
                <w:szCs w:val="23"/>
                <w:rtl w:val="0"/>
              </w:rPr>
              <w:t xml:space="preserve">Constitutional law defines the powers between states and deals with the relationship between the government and citizens.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Criminal Law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A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Juvenile Law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F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Military Law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Summary Statement about Types of Law: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A">
    <w:pPr>
      <w:spacing w:line="240" w:lineRule="auto"/>
      <w:jc w:val="center"/>
      <w:rPr>
        <w:rFonts w:ascii="Times New Roman" w:cs="Times New Roman" w:eastAsia="Times New Roman" w:hAnsi="Times New Roman"/>
        <w:b w:val="1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B">
    <w:pPr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1109663" cy="44171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09663" cy="44171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C">
    <w:pPr>
      <w:spacing w:line="240" w:lineRule="auto"/>
      <w:jc w:val="center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Sources and Types of Law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