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Forms of Government Graphic Organizer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 each station/placard, use the reading to write a definition for that form of government, as well as list any defining characteristics. Using your understanding, you will then analyze why the Framers of the U.S.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Constitution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did not choose certain forms when establishing our government.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</w:p>
    <w:tbl>
      <w:tblPr>
        <w:tblStyle w:val="Table1"/>
        <w:tblW w:w="1459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05"/>
        <w:gridCol w:w="6285"/>
        <w:gridCol w:w="6405"/>
        <w:tblGridChange w:id="0">
          <w:tblGrid>
            <w:gridCol w:w="1905"/>
            <w:gridCol w:w="6285"/>
            <w:gridCol w:w="6405"/>
          </w:tblGrid>
        </w:tblGridChange>
      </w:tblGrid>
      <w:tr>
        <w:trPr>
          <w:cantSplit w:val="0"/>
          <w:trHeight w:val="11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Form of Government: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Definition/Defining Characteristics: 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8"/>
                <w:szCs w:val="28"/>
                <w:rtl w:val="0"/>
              </w:rPr>
              <w:t xml:space="preserve">Why Not This One?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Autocracy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Monarchy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Oligarchy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Republic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99999" w:val="clear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Democracy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*Note: For this box, stay specific to direct democracy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Theocracy</w:t>
            </w:r>
          </w:p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9144000" cy="96520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0125" y="2812000"/>
                          <a:ext cx="9376800" cy="970800"/>
                        </a:xfrm>
                        <a:prstGeom prst="left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999999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9144000" cy="965200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0" cy="9652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