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mbria" w:cs="Cambria" w:eastAsia="Cambria" w:hAnsi="Cambria"/>
          <w:b w:val="1"/>
          <w:sz w:val="28"/>
          <w:szCs w:val="28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Declaration of Independence, July 4, 1776, by John Trumbull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mbria" w:cs="Cambria" w:eastAsia="Cambria" w:hAnsi="Cambria"/>
          <w:b w:val="1"/>
          <w:sz w:val="28"/>
          <w:szCs w:val="28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u w:val="single"/>
          <w:rtl w:val="0"/>
        </w:rPr>
        <w:t xml:space="preserve">Artwork Viewing Guide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mbria" w:cs="Cambria" w:eastAsia="Cambria" w:hAnsi="Cambria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3920"/>
        <w:gridCol w:w="4180"/>
        <w:tblGridChange w:id="0">
          <w:tblGrid>
            <w:gridCol w:w="2820"/>
            <w:gridCol w:w="3920"/>
            <w:gridCol w:w="41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Specific Evidence from the Painting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Complete Sentence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What do you think is going on in this painting?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What is the issue on which it is focusing?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What is the action that is taking place?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 you see any familiar people or objects?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Painting – Additional Notes/Evidence from Group Discussion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ind w:left="630" w:firstLine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528763" cy="59728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28763" cy="59728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