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FLORIDA: THE 27TH STATE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SS.3.CG.2.5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Recognize symbols, individuals, documents and events that represent the State of Florida.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after="0" w:afterAutospacing="0"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Students will recognize the Great Seal of the State of Florida as a symbol that represents the state. 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recognize William Pope Duval, William Dunn Moseley and Josiah T. Walls as individuals who represent Florida. 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identify the Declaration of Rights in the Florida Constitution as a document that represents Florida.  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spacing w:before="0" w:beforeAutospacing="0" w:line="288" w:lineRule="auto"/>
              <w:ind w:left="720" w:hanging="360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Students will recognize that Florida became the 27th state of the United States on March 3, 1845.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ELA.3.C.2.1: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Present information orally, in a logical sequence, using nonverbal cues, appropriate volume, and clear pronunciation.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ELA.3.C.4.1: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Conduct research to answer a question, organizing information about the topic from multiple sources.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ELA.3.V.1.1: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When did Florida become a state?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0" w:afterAutospacing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Chart paper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Sticky notes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“Florida: The 27th State” Web Quest handout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Internet access/computers for students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spacing w:after="0" w:after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On a piece of chart paper write “Important Dates.”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Give each student three sticky notes.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the students write their birthday on one sticky note and then pick two other dates with a brief description of why the date is important or significant to them.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the students add their sticky notes to the chart paper so the entire class can see.  Lead a discussion of the dates that were posted. </w:t>
            </w:r>
          </w:p>
          <w:p w:rsidR="00000000" w:rsidDel="00000000" w:rsidP="00000000" w:rsidRDefault="00000000" w:rsidRPr="00000000" w14:paraId="00000020">
            <w:pPr>
              <w:spacing w:line="288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rtl w:val="0"/>
              </w:rPr>
              <w:t xml:space="preserve"> Start with the birthdates to give the students a sense of importance because they were born.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pacing w:after="0" w:afterAutospacing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After leading the discussion regarding the student selected important dates, ask the question, “Did anyone put March 3, 1845?”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Tell the students that something very special happened on this date. Explain to the students that if this event did not happen, their lives would be very different.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the students brainstorm and guess why March 3, 1845 is important.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the students that March 3, 1845, is when Florida became the 27th state in the United States.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Place students into pairs or small groups.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Pass out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Florida: The 27th State</w:t>
            </w:r>
            <w:r w:rsidDel="00000000" w:rsidR="00000000" w:rsidRPr="00000000">
              <w:rPr>
                <w:color w:val="212121"/>
                <w:rtl w:val="0"/>
              </w:rPr>
              <w:t xml:space="preserve">”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Web Quest handout to each student.</w:t>
            </w:r>
          </w:p>
          <w:p w:rsidR="00000000" w:rsidDel="00000000" w:rsidP="00000000" w:rsidRDefault="00000000" w:rsidRPr="00000000" w14:paraId="00000028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A WebQuest is an inquiry-based pedagogical tool that allows students to practice online research skills, media literacy, and pull their information strictly from reliable web-based sources. 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Working together, have students complete the W</w:t>
            </w:r>
            <w:r w:rsidDel="00000000" w:rsidR="00000000" w:rsidRPr="00000000">
              <w:rPr>
                <w:rtl w:val="0"/>
              </w:rPr>
              <w:t xml:space="preserve">ebQuest using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kiddle.co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as their safe search engine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students share their findings. </w:t>
            </w:r>
          </w:p>
          <w:p w:rsidR="00000000" w:rsidDel="00000000" w:rsidP="00000000" w:rsidRDefault="00000000" w:rsidRPr="00000000" w14:paraId="0000002C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rtl w:val="0"/>
              </w:rPr>
              <w:t xml:space="preserve"> Return to this benchmark on March 3rd to ensure students still remember why the date is important.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FJCC/LFI Website</w:t>
            </w:r>
          </w:p>
          <w:p w:rsidR="00000000" w:rsidDel="00000000" w:rsidP="00000000" w:rsidRDefault="00000000" w:rsidRPr="00000000" w14:paraId="0000002F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color w:val="212121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0" w:line="288" w:lineRule="auto"/>
              <w:ind w:left="0" w:firstLine="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“</w:t>
            </w:r>
            <w:r w:rsidDel="00000000" w:rsidR="00000000" w:rsidRPr="00000000">
              <w:rPr>
                <w:color w:val="212121"/>
                <w:rtl w:val="0"/>
              </w:rPr>
              <w:t xml:space="preserve">Florida: The 27th State” Web Quest handout sample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SS.3.CG.2.5d-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www.kiddle.co/" TargetMode="External"/><Relationship Id="rId8" Type="http://schemas.openxmlformats.org/officeDocument/2006/relationships/hyperlink" Target="http://www.leg.state.fl.us/Statutes/index.cfm?App_mode=Display_Statute&amp;Search_String=&amp;URL=1000-1099/1003/Sections/1003.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