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237B681C" w14:textId="77777777" w:rsidR="000F1BD7"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Name: ______________________________________</w:t>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t>Date: _______________________________</w:t>
      </w:r>
    </w:p>
    <w:p w14:paraId="5055B896" w14:textId="77777777" w:rsidR="000F1BD7" w:rsidRDefault="000F1BD7">
      <w:pPr>
        <w:spacing w:line="240" w:lineRule="auto"/>
        <w:jc w:val="center"/>
        <w:rPr>
          <w:rFonts w:ascii="Times New Roman" w:eastAsia="Times New Roman" w:hAnsi="Times New Roman" w:cs="Times New Roman"/>
          <w:b/>
          <w:sz w:val="24"/>
          <w:szCs w:val="24"/>
        </w:rPr>
      </w:pPr>
    </w:p>
    <w:p w14:paraId="03973819" w14:textId="77777777" w:rsidR="000F1BD7" w:rsidRDefault="00000000">
      <w:pPr>
        <w:spacing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U.S. Branches of Government </w:t>
      </w:r>
    </w:p>
    <w:p w14:paraId="5B4FD63F" w14:textId="77777777" w:rsidR="000F1BD7" w:rsidRDefault="000F1BD7">
      <w:pPr>
        <w:spacing w:line="240" w:lineRule="auto"/>
        <w:rPr>
          <w:rFonts w:ascii="Times New Roman" w:eastAsia="Times New Roman" w:hAnsi="Times New Roman" w:cs="Times New Roman"/>
          <w:sz w:val="24"/>
          <w:szCs w:val="24"/>
        </w:rPr>
      </w:pPr>
    </w:p>
    <w:tbl>
      <w:tblPr>
        <w:tblStyle w:val="a"/>
        <w:tblW w:w="11025" w:type="dxa"/>
        <w:tblInd w:w="-10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965"/>
        <w:gridCol w:w="3340"/>
        <w:gridCol w:w="3720"/>
      </w:tblGrid>
      <w:tr w:rsidR="000F1BD7" w14:paraId="7DE4B801" w14:textId="77777777" w:rsidTr="00AD78E6">
        <w:tc>
          <w:tcPr>
            <w:tcW w:w="3965" w:type="dxa"/>
            <w:shd w:val="clear" w:color="auto" w:fill="auto"/>
            <w:tcMar>
              <w:top w:w="100" w:type="dxa"/>
              <w:left w:w="100" w:type="dxa"/>
              <w:bottom w:w="100" w:type="dxa"/>
              <w:right w:w="100" w:type="dxa"/>
            </w:tcMar>
          </w:tcPr>
          <w:p w14:paraId="20DB0D73" w14:textId="77777777" w:rsidR="000F1BD7" w:rsidRDefault="00000000">
            <w:pPr>
              <w:widowControl w:val="0"/>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Article I</w:t>
            </w:r>
          </w:p>
          <w:p w14:paraId="0E9FB119" w14:textId="77777777" w:rsidR="000F1BD7" w:rsidRDefault="00000000">
            <w:pPr>
              <w:widowControl w:val="0"/>
              <w:pBdr>
                <w:top w:val="nil"/>
                <w:left w:val="nil"/>
                <w:bottom w:val="nil"/>
                <w:right w:val="nil"/>
                <w:between w:val="nil"/>
              </w:pBdr>
              <w:spacing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LEGISLATIVE BRANCH</w:t>
            </w:r>
          </w:p>
          <w:p w14:paraId="1F59C807" w14:textId="77777777" w:rsidR="000F1BD7" w:rsidRDefault="000F1BD7" w:rsidP="00AD78E6">
            <w:pPr>
              <w:widowControl w:val="0"/>
              <w:pBdr>
                <w:top w:val="nil"/>
                <w:left w:val="nil"/>
                <w:bottom w:val="nil"/>
                <w:right w:val="nil"/>
                <w:between w:val="nil"/>
              </w:pBdr>
              <w:spacing w:line="240" w:lineRule="auto"/>
              <w:rPr>
                <w:rFonts w:ascii="Times New Roman" w:eastAsia="Times New Roman" w:hAnsi="Times New Roman" w:cs="Times New Roman"/>
                <w:b/>
                <w:sz w:val="24"/>
                <w:szCs w:val="24"/>
              </w:rPr>
            </w:pPr>
          </w:p>
          <w:p w14:paraId="197E44CC" w14:textId="51E9845A" w:rsidR="000F1BD7" w:rsidRPr="00AD78E6" w:rsidRDefault="00000000" w:rsidP="00AD78E6">
            <w:pPr>
              <w:widowControl w:val="0"/>
              <w:spacing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noProof/>
                <w:sz w:val="24"/>
                <w:szCs w:val="24"/>
              </w:rPr>
              <w:drawing>
                <wp:inline distT="19050" distB="19050" distL="19050" distR="19050" wp14:anchorId="6FB72BBE" wp14:editId="611605A4">
                  <wp:extent cx="1219200" cy="909851"/>
                  <wp:effectExtent l="9525" t="9525" r="9525" b="9525"/>
                  <wp:docPr id="3"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7"/>
                          <a:srcRect/>
                          <a:stretch>
                            <a:fillRect/>
                          </a:stretch>
                        </pic:blipFill>
                        <pic:spPr>
                          <a:xfrm>
                            <a:off x="0" y="0"/>
                            <a:ext cx="1219200" cy="909851"/>
                          </a:xfrm>
                          <a:prstGeom prst="rect">
                            <a:avLst/>
                          </a:prstGeom>
                          <a:ln w="9525">
                            <a:solidFill>
                              <a:srgbClr val="000000"/>
                            </a:solidFill>
                            <a:prstDash val="solid"/>
                          </a:ln>
                        </pic:spPr>
                      </pic:pic>
                    </a:graphicData>
                  </a:graphic>
                </wp:inline>
              </w:drawing>
            </w:r>
          </w:p>
          <w:p w14:paraId="1C22184F" w14:textId="77777777" w:rsidR="000F1BD7" w:rsidRDefault="00000000">
            <w:pPr>
              <w:widowControl w:val="0"/>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color w:val="FF0000"/>
                <w:sz w:val="24"/>
                <w:szCs w:val="24"/>
              </w:rPr>
              <w:t xml:space="preserve">Makes </w:t>
            </w:r>
            <w:r>
              <w:rPr>
                <w:rFonts w:ascii="Times New Roman" w:eastAsia="Times New Roman" w:hAnsi="Times New Roman" w:cs="Times New Roman"/>
                <w:sz w:val="24"/>
                <w:szCs w:val="24"/>
              </w:rPr>
              <w:t>Laws</w:t>
            </w:r>
          </w:p>
          <w:p w14:paraId="630B4C23" w14:textId="77777777" w:rsidR="000F1BD7" w:rsidRDefault="000F1BD7">
            <w:pPr>
              <w:widowControl w:val="0"/>
              <w:pBdr>
                <w:top w:val="nil"/>
                <w:left w:val="nil"/>
                <w:bottom w:val="nil"/>
                <w:right w:val="nil"/>
                <w:between w:val="nil"/>
              </w:pBdr>
              <w:spacing w:line="240" w:lineRule="auto"/>
              <w:jc w:val="center"/>
              <w:rPr>
                <w:rFonts w:ascii="Times New Roman" w:eastAsia="Times New Roman" w:hAnsi="Times New Roman" w:cs="Times New Roman"/>
                <w:sz w:val="24"/>
                <w:szCs w:val="24"/>
              </w:rPr>
            </w:pPr>
          </w:p>
          <w:p w14:paraId="74AEBEA9" w14:textId="57D740EA" w:rsidR="000F1BD7" w:rsidRPr="00AD78E6" w:rsidRDefault="00000000" w:rsidP="00AD78E6">
            <w:pPr>
              <w:widowControl w:val="0"/>
              <w:pBdr>
                <w:top w:val="nil"/>
                <w:left w:val="nil"/>
                <w:bottom w:val="nil"/>
                <w:right w:val="nil"/>
                <w:between w:val="nil"/>
              </w:pBdr>
              <w:spacing w:line="240" w:lineRule="auto"/>
              <w:jc w:val="center"/>
              <w:rPr>
                <w:rFonts w:ascii="Times New Roman" w:eastAsia="Times New Roman" w:hAnsi="Times New Roman" w:cs="Times New Roman"/>
                <w:color w:val="FF0000"/>
                <w:sz w:val="24"/>
                <w:szCs w:val="24"/>
              </w:rPr>
            </w:pPr>
            <w:r>
              <w:rPr>
                <w:rFonts w:ascii="Times New Roman" w:eastAsia="Times New Roman" w:hAnsi="Times New Roman" w:cs="Times New Roman"/>
                <w:color w:val="FF0000"/>
                <w:sz w:val="24"/>
                <w:szCs w:val="24"/>
              </w:rPr>
              <w:t>House of Representatives</w:t>
            </w:r>
          </w:p>
          <w:p w14:paraId="6ED55972" w14:textId="77777777" w:rsidR="000F1BD7" w:rsidRDefault="00000000">
            <w:pPr>
              <w:widowControl w:val="0"/>
              <w:pBdr>
                <w:top w:val="nil"/>
                <w:left w:val="nil"/>
                <w:bottom w:val="nil"/>
                <w:right w:val="nil"/>
                <w:between w:val="nil"/>
              </w:pBdr>
              <w:spacing w:line="240" w:lineRule="auto"/>
              <w:jc w:val="center"/>
              <w:rPr>
                <w:rFonts w:ascii="Times New Roman" w:eastAsia="Times New Roman" w:hAnsi="Times New Roman" w:cs="Times New Roman"/>
                <w:color w:val="FF0000"/>
                <w:sz w:val="24"/>
                <w:szCs w:val="24"/>
              </w:rPr>
            </w:pPr>
            <w:r>
              <w:rPr>
                <w:rFonts w:ascii="Times New Roman" w:eastAsia="Times New Roman" w:hAnsi="Times New Roman" w:cs="Times New Roman"/>
                <w:color w:val="FF0000"/>
                <w:sz w:val="24"/>
                <w:szCs w:val="24"/>
              </w:rPr>
              <w:t>Senate</w:t>
            </w:r>
          </w:p>
        </w:tc>
        <w:tc>
          <w:tcPr>
            <w:tcW w:w="3340" w:type="dxa"/>
            <w:shd w:val="clear" w:color="auto" w:fill="auto"/>
            <w:tcMar>
              <w:top w:w="100" w:type="dxa"/>
              <w:left w:w="100" w:type="dxa"/>
              <w:bottom w:w="100" w:type="dxa"/>
              <w:right w:w="100" w:type="dxa"/>
            </w:tcMar>
          </w:tcPr>
          <w:p w14:paraId="09D55497" w14:textId="77777777" w:rsidR="000F1BD7" w:rsidRDefault="00000000">
            <w:pPr>
              <w:widowControl w:val="0"/>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Article II</w:t>
            </w:r>
          </w:p>
          <w:p w14:paraId="581AE72A" w14:textId="77777777" w:rsidR="000F1BD7" w:rsidRDefault="00000000">
            <w:pPr>
              <w:widowControl w:val="0"/>
              <w:spacing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EXECUTIVE BRANCH</w:t>
            </w:r>
          </w:p>
          <w:p w14:paraId="1B232CF2" w14:textId="77777777" w:rsidR="000F1BD7" w:rsidRDefault="000F1BD7">
            <w:pPr>
              <w:widowControl w:val="0"/>
              <w:spacing w:line="240" w:lineRule="auto"/>
              <w:jc w:val="center"/>
              <w:rPr>
                <w:rFonts w:ascii="Times New Roman" w:eastAsia="Times New Roman" w:hAnsi="Times New Roman" w:cs="Times New Roman"/>
                <w:b/>
                <w:sz w:val="24"/>
                <w:szCs w:val="24"/>
              </w:rPr>
            </w:pPr>
          </w:p>
          <w:p w14:paraId="5ECAE568" w14:textId="778B1B2B" w:rsidR="000F1BD7" w:rsidRPr="00AD78E6" w:rsidRDefault="00000000" w:rsidP="00AD78E6">
            <w:pPr>
              <w:spacing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noProof/>
                <w:sz w:val="24"/>
                <w:szCs w:val="24"/>
              </w:rPr>
              <w:drawing>
                <wp:inline distT="19050" distB="19050" distL="19050" distR="19050" wp14:anchorId="24E35AE4" wp14:editId="4122AF66">
                  <wp:extent cx="1509713" cy="915180"/>
                  <wp:effectExtent l="9525" t="9525" r="9525" b="9525"/>
                  <wp:docPr id="2"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8"/>
                          <a:srcRect/>
                          <a:stretch>
                            <a:fillRect/>
                          </a:stretch>
                        </pic:blipFill>
                        <pic:spPr>
                          <a:xfrm>
                            <a:off x="0" y="0"/>
                            <a:ext cx="1509713" cy="915180"/>
                          </a:xfrm>
                          <a:prstGeom prst="rect">
                            <a:avLst/>
                          </a:prstGeom>
                          <a:ln w="9525">
                            <a:solidFill>
                              <a:srgbClr val="000000"/>
                            </a:solidFill>
                            <a:prstDash val="solid"/>
                          </a:ln>
                        </pic:spPr>
                      </pic:pic>
                    </a:graphicData>
                  </a:graphic>
                </wp:inline>
              </w:drawing>
            </w:r>
          </w:p>
          <w:p w14:paraId="28CFB228" w14:textId="15B5B91C" w:rsidR="000F1BD7" w:rsidRDefault="00000000">
            <w:pPr>
              <w:widowControl w:val="0"/>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color w:val="FF0000"/>
                <w:sz w:val="24"/>
                <w:szCs w:val="24"/>
              </w:rPr>
              <w:t>E</w:t>
            </w:r>
            <w:r w:rsidR="00AD78E6">
              <w:rPr>
                <w:rFonts w:ascii="Times New Roman" w:eastAsia="Times New Roman" w:hAnsi="Times New Roman" w:cs="Times New Roman"/>
                <w:color w:val="FF0000"/>
                <w:sz w:val="24"/>
                <w:szCs w:val="24"/>
              </w:rPr>
              <w:t>nf</w:t>
            </w:r>
            <w:r>
              <w:rPr>
                <w:rFonts w:ascii="Times New Roman" w:eastAsia="Times New Roman" w:hAnsi="Times New Roman" w:cs="Times New Roman"/>
                <w:color w:val="FF0000"/>
                <w:sz w:val="24"/>
                <w:szCs w:val="24"/>
              </w:rPr>
              <w:t xml:space="preserve">orces </w:t>
            </w:r>
            <w:r>
              <w:rPr>
                <w:rFonts w:ascii="Times New Roman" w:eastAsia="Times New Roman" w:hAnsi="Times New Roman" w:cs="Times New Roman"/>
                <w:sz w:val="24"/>
                <w:szCs w:val="24"/>
              </w:rPr>
              <w:t>Laws</w:t>
            </w:r>
          </w:p>
          <w:p w14:paraId="42F2672C" w14:textId="77777777" w:rsidR="000F1BD7" w:rsidRDefault="000F1BD7">
            <w:pPr>
              <w:widowControl w:val="0"/>
              <w:spacing w:line="240" w:lineRule="auto"/>
              <w:jc w:val="center"/>
              <w:rPr>
                <w:rFonts w:ascii="Times New Roman" w:eastAsia="Times New Roman" w:hAnsi="Times New Roman" w:cs="Times New Roman"/>
                <w:sz w:val="24"/>
                <w:szCs w:val="24"/>
              </w:rPr>
            </w:pPr>
          </w:p>
          <w:p w14:paraId="686CD720" w14:textId="77777777" w:rsidR="000F1BD7" w:rsidRDefault="00000000">
            <w:pPr>
              <w:widowControl w:val="0"/>
              <w:spacing w:line="240" w:lineRule="auto"/>
              <w:jc w:val="center"/>
              <w:rPr>
                <w:rFonts w:ascii="Times New Roman" w:eastAsia="Times New Roman" w:hAnsi="Times New Roman" w:cs="Times New Roman"/>
                <w:color w:val="FF0000"/>
                <w:sz w:val="24"/>
                <w:szCs w:val="24"/>
              </w:rPr>
            </w:pPr>
            <w:r>
              <w:rPr>
                <w:rFonts w:ascii="Times New Roman" w:eastAsia="Times New Roman" w:hAnsi="Times New Roman" w:cs="Times New Roman"/>
                <w:color w:val="FF0000"/>
                <w:sz w:val="24"/>
                <w:szCs w:val="24"/>
              </w:rPr>
              <w:t>President</w:t>
            </w:r>
          </w:p>
        </w:tc>
        <w:tc>
          <w:tcPr>
            <w:tcW w:w="3720" w:type="dxa"/>
            <w:shd w:val="clear" w:color="auto" w:fill="auto"/>
            <w:tcMar>
              <w:top w:w="100" w:type="dxa"/>
              <w:left w:w="100" w:type="dxa"/>
              <w:bottom w:w="100" w:type="dxa"/>
              <w:right w:w="100" w:type="dxa"/>
            </w:tcMar>
          </w:tcPr>
          <w:p w14:paraId="3285E627" w14:textId="77777777" w:rsidR="000F1BD7" w:rsidRDefault="00000000">
            <w:pPr>
              <w:widowControl w:val="0"/>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Article III</w:t>
            </w:r>
          </w:p>
          <w:p w14:paraId="55DB45DA" w14:textId="77777777" w:rsidR="000F1BD7" w:rsidRDefault="00000000">
            <w:pPr>
              <w:widowControl w:val="0"/>
              <w:spacing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JUDICIAL BRANCH</w:t>
            </w:r>
          </w:p>
          <w:p w14:paraId="5813944F" w14:textId="77777777" w:rsidR="000F1BD7" w:rsidRDefault="000F1BD7">
            <w:pPr>
              <w:widowControl w:val="0"/>
              <w:spacing w:line="240" w:lineRule="auto"/>
              <w:jc w:val="center"/>
              <w:rPr>
                <w:rFonts w:ascii="Times New Roman" w:eastAsia="Times New Roman" w:hAnsi="Times New Roman" w:cs="Times New Roman"/>
                <w:b/>
                <w:sz w:val="24"/>
                <w:szCs w:val="24"/>
              </w:rPr>
            </w:pPr>
          </w:p>
          <w:p w14:paraId="285D7B75" w14:textId="2E9E4313" w:rsidR="000F1BD7" w:rsidRPr="00AD78E6" w:rsidRDefault="00000000" w:rsidP="00AD78E6">
            <w:pPr>
              <w:spacing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noProof/>
                <w:sz w:val="24"/>
                <w:szCs w:val="24"/>
              </w:rPr>
              <w:drawing>
                <wp:inline distT="19050" distB="19050" distL="19050" distR="19050" wp14:anchorId="6AAFBC56" wp14:editId="72D918BD">
                  <wp:extent cx="1223963" cy="927244"/>
                  <wp:effectExtent l="9525" t="9525" r="9525" b="9525"/>
                  <wp:docPr id="4"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9"/>
                          <a:srcRect/>
                          <a:stretch>
                            <a:fillRect/>
                          </a:stretch>
                        </pic:blipFill>
                        <pic:spPr>
                          <a:xfrm>
                            <a:off x="0" y="0"/>
                            <a:ext cx="1223963" cy="927244"/>
                          </a:xfrm>
                          <a:prstGeom prst="rect">
                            <a:avLst/>
                          </a:prstGeom>
                          <a:ln w="9525">
                            <a:solidFill>
                              <a:srgbClr val="000000"/>
                            </a:solidFill>
                            <a:prstDash val="solid"/>
                          </a:ln>
                        </pic:spPr>
                      </pic:pic>
                    </a:graphicData>
                  </a:graphic>
                </wp:inline>
              </w:drawing>
            </w:r>
          </w:p>
          <w:p w14:paraId="2555FD1E" w14:textId="77777777" w:rsidR="000F1BD7" w:rsidRDefault="00000000">
            <w:pPr>
              <w:widowControl w:val="0"/>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color w:val="FF0000"/>
                <w:sz w:val="24"/>
                <w:szCs w:val="24"/>
              </w:rPr>
              <w:t xml:space="preserve">Interprets </w:t>
            </w:r>
            <w:r>
              <w:rPr>
                <w:rFonts w:ascii="Times New Roman" w:eastAsia="Times New Roman" w:hAnsi="Times New Roman" w:cs="Times New Roman"/>
                <w:sz w:val="24"/>
                <w:szCs w:val="24"/>
              </w:rPr>
              <w:t>Laws</w:t>
            </w:r>
          </w:p>
          <w:p w14:paraId="6EDC288F" w14:textId="77777777" w:rsidR="000F1BD7" w:rsidRDefault="000F1BD7">
            <w:pPr>
              <w:widowControl w:val="0"/>
              <w:spacing w:line="240" w:lineRule="auto"/>
              <w:jc w:val="center"/>
              <w:rPr>
                <w:rFonts w:ascii="Times New Roman" w:eastAsia="Times New Roman" w:hAnsi="Times New Roman" w:cs="Times New Roman"/>
                <w:sz w:val="24"/>
                <w:szCs w:val="24"/>
              </w:rPr>
            </w:pPr>
          </w:p>
          <w:p w14:paraId="0F0CECCA" w14:textId="77777777" w:rsidR="000F1BD7" w:rsidRDefault="00000000">
            <w:pPr>
              <w:widowControl w:val="0"/>
              <w:spacing w:line="240" w:lineRule="auto"/>
              <w:jc w:val="center"/>
              <w:rPr>
                <w:rFonts w:ascii="Times New Roman" w:eastAsia="Times New Roman" w:hAnsi="Times New Roman" w:cs="Times New Roman"/>
                <w:color w:val="FF0000"/>
                <w:sz w:val="24"/>
                <w:szCs w:val="24"/>
              </w:rPr>
            </w:pPr>
            <w:r>
              <w:rPr>
                <w:rFonts w:ascii="Times New Roman" w:eastAsia="Times New Roman" w:hAnsi="Times New Roman" w:cs="Times New Roman"/>
                <w:color w:val="FF0000"/>
                <w:sz w:val="24"/>
                <w:szCs w:val="24"/>
              </w:rPr>
              <w:t>Supreme Court</w:t>
            </w:r>
          </w:p>
        </w:tc>
      </w:tr>
    </w:tbl>
    <w:p w14:paraId="4A73E829" w14:textId="77777777" w:rsidR="000F1BD7" w:rsidRPr="00AD78E6" w:rsidRDefault="000F1BD7">
      <w:pPr>
        <w:spacing w:line="240" w:lineRule="auto"/>
        <w:rPr>
          <w:rFonts w:ascii="Cambria" w:eastAsia="Cambria" w:hAnsi="Cambria" w:cs="Cambria"/>
          <w:sz w:val="10"/>
          <w:szCs w:val="10"/>
        </w:rPr>
      </w:pPr>
    </w:p>
    <w:tbl>
      <w:tblPr>
        <w:tblStyle w:val="a0"/>
        <w:tblW w:w="1101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973"/>
        <w:gridCol w:w="3371"/>
        <w:gridCol w:w="3672"/>
      </w:tblGrid>
      <w:tr w:rsidR="000F1BD7" w14:paraId="460E4773" w14:textId="77777777" w:rsidTr="00AD78E6">
        <w:trPr>
          <w:trHeight w:val="8243"/>
        </w:trPr>
        <w:tc>
          <w:tcPr>
            <w:tcW w:w="3973" w:type="dxa"/>
          </w:tcPr>
          <w:p w14:paraId="5B9E5904" w14:textId="77777777" w:rsidR="000F1BD7" w:rsidRDefault="00000000">
            <w:pPr>
              <w:numPr>
                <w:ilvl w:val="0"/>
                <w:numId w:val="3"/>
              </w:numPr>
              <w:rPr>
                <w:rFonts w:ascii="Times New Roman" w:eastAsia="Times New Roman" w:hAnsi="Times New Roman" w:cs="Times New Roman"/>
                <w:b/>
                <w:sz w:val="22"/>
                <w:szCs w:val="22"/>
              </w:rPr>
            </w:pPr>
            <w:r>
              <w:rPr>
                <w:rFonts w:ascii="Times New Roman" w:eastAsia="Times New Roman" w:hAnsi="Times New Roman" w:cs="Times New Roman"/>
                <w:b/>
                <w:sz w:val="20"/>
                <w:szCs w:val="20"/>
              </w:rPr>
              <w:t>How a bill becomes a law</w:t>
            </w:r>
          </w:p>
          <w:p w14:paraId="64C9CC69" w14:textId="77777777" w:rsidR="000F1BD7" w:rsidRDefault="00000000">
            <w:pPr>
              <w:numPr>
                <w:ilvl w:val="0"/>
                <w:numId w:val="3"/>
              </w:numPr>
              <w:rPr>
                <w:rFonts w:ascii="Times New Roman" w:eastAsia="Times New Roman" w:hAnsi="Times New Roman" w:cs="Times New Roman"/>
                <w:sz w:val="22"/>
                <w:szCs w:val="22"/>
              </w:rPr>
            </w:pPr>
            <w:r>
              <w:rPr>
                <w:rFonts w:ascii="Times New Roman" w:eastAsia="Times New Roman" w:hAnsi="Times New Roman" w:cs="Times New Roman"/>
                <w:b/>
                <w:sz w:val="20"/>
                <w:szCs w:val="20"/>
              </w:rPr>
              <w:t>Impeachment Process</w:t>
            </w:r>
            <w:r>
              <w:rPr>
                <w:rFonts w:ascii="Times New Roman" w:eastAsia="Times New Roman" w:hAnsi="Times New Roman" w:cs="Times New Roman"/>
                <w:sz w:val="20"/>
                <w:szCs w:val="20"/>
              </w:rPr>
              <w:t xml:space="preserve"> – House of Representatives has to the power to impeach, the Senate holds the trial to convict. </w:t>
            </w:r>
          </w:p>
          <w:p w14:paraId="2CB3CFCE" w14:textId="77777777" w:rsidR="000F1BD7" w:rsidRDefault="00000000">
            <w:pPr>
              <w:numPr>
                <w:ilvl w:val="0"/>
                <w:numId w:val="3"/>
              </w:numPr>
              <w:rPr>
                <w:rFonts w:ascii="Times New Roman" w:eastAsia="Times New Roman" w:hAnsi="Times New Roman" w:cs="Times New Roman"/>
                <w:sz w:val="22"/>
                <w:szCs w:val="22"/>
              </w:rPr>
            </w:pPr>
            <w:r>
              <w:rPr>
                <w:rFonts w:ascii="Times New Roman" w:eastAsia="Times New Roman" w:hAnsi="Times New Roman" w:cs="Times New Roman"/>
                <w:b/>
                <w:sz w:val="20"/>
                <w:szCs w:val="20"/>
              </w:rPr>
              <w:t>Appointment confirmation</w:t>
            </w:r>
            <w:r>
              <w:rPr>
                <w:rFonts w:ascii="Times New Roman" w:eastAsia="Times New Roman" w:hAnsi="Times New Roman" w:cs="Times New Roman"/>
                <w:sz w:val="20"/>
                <w:szCs w:val="20"/>
              </w:rPr>
              <w:t xml:space="preserve"> – the Senate has the power to confirm appointments through a series of hearings and then voting by the full Senate </w:t>
            </w:r>
          </w:p>
          <w:p w14:paraId="0937EEC0" w14:textId="77777777" w:rsidR="000F1BD7" w:rsidRDefault="00000000">
            <w:pPr>
              <w:numPr>
                <w:ilvl w:val="0"/>
                <w:numId w:val="3"/>
              </w:numPr>
              <w:rPr>
                <w:rFonts w:ascii="Times New Roman" w:eastAsia="Times New Roman" w:hAnsi="Times New Roman" w:cs="Times New Roman"/>
                <w:sz w:val="22"/>
                <w:szCs w:val="22"/>
              </w:rPr>
            </w:pPr>
            <w:r>
              <w:rPr>
                <w:rFonts w:ascii="Times New Roman" w:eastAsia="Times New Roman" w:hAnsi="Times New Roman" w:cs="Times New Roman"/>
                <w:b/>
                <w:sz w:val="20"/>
                <w:szCs w:val="20"/>
              </w:rPr>
              <w:t>Standing committee</w:t>
            </w:r>
            <w:r>
              <w:rPr>
                <w:rFonts w:ascii="Times New Roman" w:eastAsia="Times New Roman" w:hAnsi="Times New Roman" w:cs="Times New Roman"/>
                <w:sz w:val="20"/>
                <w:szCs w:val="20"/>
              </w:rPr>
              <w:t xml:space="preserve"> – a permanent committee that reviews bills, standing committees are in both houses and have members from both parties</w:t>
            </w:r>
          </w:p>
          <w:p w14:paraId="41CEF838" w14:textId="77777777" w:rsidR="000F1BD7" w:rsidRDefault="00000000">
            <w:pPr>
              <w:numPr>
                <w:ilvl w:val="0"/>
                <w:numId w:val="3"/>
              </w:numPr>
              <w:rPr>
                <w:rFonts w:ascii="Times New Roman" w:eastAsia="Times New Roman" w:hAnsi="Times New Roman" w:cs="Times New Roman"/>
                <w:sz w:val="22"/>
                <w:szCs w:val="22"/>
              </w:rPr>
            </w:pPr>
            <w:r>
              <w:rPr>
                <w:rFonts w:ascii="Times New Roman" w:eastAsia="Times New Roman" w:hAnsi="Times New Roman" w:cs="Times New Roman"/>
                <w:b/>
                <w:sz w:val="20"/>
                <w:szCs w:val="20"/>
              </w:rPr>
              <w:t>Special committee</w:t>
            </w:r>
            <w:r>
              <w:rPr>
                <w:rFonts w:ascii="Times New Roman" w:eastAsia="Times New Roman" w:hAnsi="Times New Roman" w:cs="Times New Roman"/>
                <w:sz w:val="20"/>
                <w:szCs w:val="20"/>
              </w:rPr>
              <w:t xml:space="preserve"> – a committee brought together to meet and research a specific issue, not necessarily related to legislation. There are special committees in each house. </w:t>
            </w:r>
          </w:p>
          <w:p w14:paraId="3C154639" w14:textId="77777777" w:rsidR="000F1BD7" w:rsidRDefault="00000000">
            <w:pPr>
              <w:numPr>
                <w:ilvl w:val="0"/>
                <w:numId w:val="3"/>
              </w:numPr>
              <w:rPr>
                <w:rFonts w:ascii="Times New Roman" w:eastAsia="Times New Roman" w:hAnsi="Times New Roman" w:cs="Times New Roman"/>
                <w:sz w:val="22"/>
                <w:szCs w:val="22"/>
              </w:rPr>
            </w:pPr>
            <w:r>
              <w:rPr>
                <w:rFonts w:ascii="Times New Roman" w:eastAsia="Times New Roman" w:hAnsi="Times New Roman" w:cs="Times New Roman"/>
                <w:b/>
                <w:sz w:val="20"/>
                <w:szCs w:val="20"/>
              </w:rPr>
              <w:t>Conference committee</w:t>
            </w:r>
            <w:r>
              <w:rPr>
                <w:rFonts w:ascii="Times New Roman" w:eastAsia="Times New Roman" w:hAnsi="Times New Roman" w:cs="Times New Roman"/>
                <w:sz w:val="20"/>
                <w:szCs w:val="20"/>
              </w:rPr>
              <w:t xml:space="preserve"> – a temporary committee with members from both houses brought together to create a final version of a bill so that both houses of Congress pass an identical bill. </w:t>
            </w:r>
          </w:p>
          <w:p w14:paraId="3AB0D011" w14:textId="654A3841" w:rsidR="000F1BD7" w:rsidRPr="00AD78E6" w:rsidRDefault="00000000" w:rsidP="00AD78E6">
            <w:pPr>
              <w:numPr>
                <w:ilvl w:val="0"/>
                <w:numId w:val="3"/>
              </w:numPr>
              <w:spacing w:after="200"/>
              <w:rPr>
                <w:rFonts w:ascii="Times New Roman" w:eastAsia="Times New Roman" w:hAnsi="Times New Roman" w:cs="Times New Roman"/>
                <w:sz w:val="22"/>
                <w:szCs w:val="22"/>
              </w:rPr>
            </w:pPr>
            <w:r>
              <w:rPr>
                <w:rFonts w:ascii="Times New Roman" w:eastAsia="Times New Roman" w:hAnsi="Times New Roman" w:cs="Times New Roman"/>
                <w:b/>
                <w:sz w:val="20"/>
                <w:szCs w:val="20"/>
              </w:rPr>
              <w:t>Committee selection</w:t>
            </w:r>
            <w:r>
              <w:rPr>
                <w:rFonts w:ascii="Times New Roman" w:eastAsia="Times New Roman" w:hAnsi="Times New Roman" w:cs="Times New Roman"/>
                <w:sz w:val="20"/>
                <w:szCs w:val="20"/>
              </w:rPr>
              <w:t xml:space="preserve"> – the majority party in each house determines Committee selection. They determine the amount of members from each party and new Representatives and Senators are assigned to committees based on the available spaces.</w:t>
            </w:r>
          </w:p>
        </w:tc>
        <w:tc>
          <w:tcPr>
            <w:tcW w:w="3371" w:type="dxa"/>
          </w:tcPr>
          <w:p w14:paraId="2C2AE755" w14:textId="77777777" w:rsidR="000F1BD7" w:rsidRDefault="00000000">
            <w:pPr>
              <w:numPr>
                <w:ilvl w:val="0"/>
                <w:numId w:val="1"/>
              </w:numPr>
              <w:rPr>
                <w:rFonts w:ascii="Times New Roman" w:eastAsia="Times New Roman" w:hAnsi="Times New Roman" w:cs="Times New Roman"/>
                <w:sz w:val="22"/>
                <w:szCs w:val="22"/>
              </w:rPr>
            </w:pPr>
            <w:r>
              <w:rPr>
                <w:rFonts w:ascii="Times New Roman" w:eastAsia="Times New Roman" w:hAnsi="Times New Roman" w:cs="Times New Roman"/>
                <w:b/>
                <w:sz w:val="20"/>
                <w:szCs w:val="20"/>
              </w:rPr>
              <w:t xml:space="preserve">Executive order – </w:t>
            </w:r>
            <w:r>
              <w:rPr>
                <w:rFonts w:ascii="Times New Roman" w:eastAsia="Times New Roman" w:hAnsi="Times New Roman" w:cs="Times New Roman"/>
                <w:sz w:val="20"/>
                <w:szCs w:val="20"/>
              </w:rPr>
              <w:t>the power of the president to make an order that must be followed like a law</w:t>
            </w:r>
          </w:p>
          <w:p w14:paraId="04F9627A" w14:textId="77777777" w:rsidR="000F1BD7" w:rsidRDefault="00000000">
            <w:pPr>
              <w:numPr>
                <w:ilvl w:val="0"/>
                <w:numId w:val="1"/>
              </w:numPr>
              <w:rPr>
                <w:rFonts w:ascii="Times New Roman" w:eastAsia="Times New Roman" w:hAnsi="Times New Roman" w:cs="Times New Roman"/>
                <w:b/>
                <w:sz w:val="22"/>
                <w:szCs w:val="22"/>
              </w:rPr>
            </w:pPr>
            <w:r>
              <w:rPr>
                <w:rFonts w:ascii="Times New Roman" w:eastAsia="Times New Roman" w:hAnsi="Times New Roman" w:cs="Times New Roman"/>
                <w:b/>
                <w:sz w:val="20"/>
                <w:szCs w:val="20"/>
              </w:rPr>
              <w:t xml:space="preserve">Veto – </w:t>
            </w:r>
            <w:r>
              <w:rPr>
                <w:rFonts w:ascii="Times New Roman" w:eastAsia="Times New Roman" w:hAnsi="Times New Roman" w:cs="Times New Roman"/>
                <w:sz w:val="20"/>
                <w:szCs w:val="20"/>
              </w:rPr>
              <w:t>the president has the power to veto legislation, sending a bill back to Congress for another vote, or issuing a pocket veto</w:t>
            </w:r>
          </w:p>
          <w:p w14:paraId="6E439771" w14:textId="77777777" w:rsidR="000F1BD7" w:rsidRDefault="00000000">
            <w:pPr>
              <w:numPr>
                <w:ilvl w:val="0"/>
                <w:numId w:val="1"/>
              </w:numPr>
              <w:rPr>
                <w:rFonts w:ascii="Times New Roman" w:eastAsia="Times New Roman" w:hAnsi="Times New Roman" w:cs="Times New Roman"/>
                <w:sz w:val="22"/>
                <w:szCs w:val="22"/>
              </w:rPr>
            </w:pPr>
            <w:r>
              <w:rPr>
                <w:rFonts w:ascii="Times New Roman" w:eastAsia="Times New Roman" w:hAnsi="Times New Roman" w:cs="Times New Roman"/>
                <w:b/>
                <w:sz w:val="20"/>
                <w:szCs w:val="20"/>
              </w:rPr>
              <w:t>Appointments</w:t>
            </w:r>
            <w:r>
              <w:rPr>
                <w:rFonts w:ascii="Times New Roman" w:eastAsia="Times New Roman" w:hAnsi="Times New Roman" w:cs="Times New Roman"/>
                <w:sz w:val="20"/>
                <w:szCs w:val="20"/>
              </w:rPr>
              <w:t xml:space="preserve"> – the president has the power to appoint certain federal government officials, including Supreme Court justices</w:t>
            </w:r>
          </w:p>
          <w:p w14:paraId="3215C1F0" w14:textId="77777777" w:rsidR="000F1BD7" w:rsidRDefault="000F1BD7">
            <w:pPr>
              <w:spacing w:line="240" w:lineRule="auto"/>
              <w:rPr>
                <w:rFonts w:ascii="Times New Roman" w:eastAsia="Times New Roman" w:hAnsi="Times New Roman" w:cs="Times New Roman"/>
                <w:b/>
              </w:rPr>
            </w:pPr>
          </w:p>
        </w:tc>
        <w:tc>
          <w:tcPr>
            <w:tcW w:w="3672" w:type="dxa"/>
          </w:tcPr>
          <w:p w14:paraId="07BDDFA5" w14:textId="77777777" w:rsidR="000F1BD7" w:rsidRDefault="00000000">
            <w:pPr>
              <w:numPr>
                <w:ilvl w:val="0"/>
                <w:numId w:val="2"/>
              </w:numPr>
              <w:rPr>
                <w:rFonts w:ascii="Times New Roman" w:eastAsia="Times New Roman" w:hAnsi="Times New Roman" w:cs="Times New Roman"/>
                <w:b/>
                <w:sz w:val="22"/>
                <w:szCs w:val="22"/>
              </w:rPr>
            </w:pPr>
            <w:r>
              <w:rPr>
                <w:rFonts w:ascii="Times New Roman" w:eastAsia="Times New Roman" w:hAnsi="Times New Roman" w:cs="Times New Roman"/>
                <w:b/>
                <w:sz w:val="20"/>
                <w:szCs w:val="20"/>
              </w:rPr>
              <w:t>judicial review - t</w:t>
            </w:r>
            <w:r>
              <w:rPr>
                <w:rFonts w:ascii="Times New Roman" w:eastAsia="Times New Roman" w:hAnsi="Times New Roman" w:cs="Times New Roman"/>
                <w:sz w:val="20"/>
                <w:szCs w:val="20"/>
              </w:rPr>
              <w:t>he power to determine whether or not the actions of the other two branches of government are legal and in line with the U.S. Constitution</w:t>
            </w:r>
          </w:p>
          <w:p w14:paraId="1A396D0C" w14:textId="77777777" w:rsidR="000F1BD7" w:rsidRDefault="00000000">
            <w:pPr>
              <w:numPr>
                <w:ilvl w:val="0"/>
                <w:numId w:val="2"/>
              </w:numPr>
              <w:rPr>
                <w:rFonts w:ascii="Times New Roman" w:eastAsia="Times New Roman" w:hAnsi="Times New Roman" w:cs="Times New Roman"/>
                <w:b/>
                <w:sz w:val="22"/>
                <w:szCs w:val="22"/>
              </w:rPr>
            </w:pPr>
            <w:r>
              <w:rPr>
                <w:rFonts w:ascii="Times New Roman" w:eastAsia="Times New Roman" w:hAnsi="Times New Roman" w:cs="Times New Roman"/>
                <w:b/>
                <w:sz w:val="20"/>
                <w:szCs w:val="20"/>
              </w:rPr>
              <w:t xml:space="preserve">writ of certiorari - </w:t>
            </w:r>
            <w:r>
              <w:rPr>
                <w:rFonts w:ascii="Times New Roman" w:eastAsia="Times New Roman" w:hAnsi="Times New Roman" w:cs="Times New Roman"/>
                <w:sz w:val="20"/>
                <w:szCs w:val="20"/>
              </w:rPr>
              <w:t xml:space="preserve">A writ of certiorari orders a lower court to deliver its records on a case so that the higher court may review it.  A court of appeals (not a trial court) has the power to review cases and a writ of certiorari is the formal process by which that power gets used. </w:t>
            </w:r>
          </w:p>
          <w:p w14:paraId="2819305D" w14:textId="77777777" w:rsidR="000F1BD7" w:rsidRDefault="00000000">
            <w:pPr>
              <w:numPr>
                <w:ilvl w:val="0"/>
                <w:numId w:val="2"/>
              </w:numPr>
              <w:rPr>
                <w:rFonts w:ascii="Times New Roman" w:eastAsia="Times New Roman" w:hAnsi="Times New Roman" w:cs="Times New Roman"/>
                <w:b/>
                <w:sz w:val="22"/>
                <w:szCs w:val="22"/>
              </w:rPr>
            </w:pPr>
            <w:r>
              <w:rPr>
                <w:rFonts w:ascii="Times New Roman" w:eastAsia="Times New Roman" w:hAnsi="Times New Roman" w:cs="Times New Roman"/>
                <w:b/>
                <w:sz w:val="20"/>
                <w:szCs w:val="20"/>
              </w:rPr>
              <w:t xml:space="preserve">court order - </w:t>
            </w:r>
            <w:r>
              <w:rPr>
                <w:rFonts w:ascii="Times New Roman" w:eastAsia="Times New Roman" w:hAnsi="Times New Roman" w:cs="Times New Roman"/>
                <w:sz w:val="20"/>
                <w:szCs w:val="20"/>
              </w:rPr>
              <w:t>a legal document where a court tells a person to perform a specific act, prohibits (stops) him from performing an act, sets a court date, or legally establishes something.</w:t>
            </w:r>
          </w:p>
          <w:p w14:paraId="696132CE" w14:textId="77777777" w:rsidR="000F1BD7" w:rsidRDefault="00000000">
            <w:pPr>
              <w:numPr>
                <w:ilvl w:val="0"/>
                <w:numId w:val="2"/>
              </w:numPr>
              <w:spacing w:after="200"/>
              <w:rPr>
                <w:rFonts w:ascii="Times New Roman" w:eastAsia="Times New Roman" w:hAnsi="Times New Roman" w:cs="Times New Roman"/>
                <w:b/>
                <w:sz w:val="22"/>
                <w:szCs w:val="22"/>
              </w:rPr>
            </w:pPr>
            <w:r>
              <w:rPr>
                <w:rFonts w:ascii="Times New Roman" w:eastAsia="Times New Roman" w:hAnsi="Times New Roman" w:cs="Times New Roman"/>
                <w:b/>
                <w:sz w:val="20"/>
                <w:szCs w:val="20"/>
              </w:rPr>
              <w:t xml:space="preserve">summary judgment - </w:t>
            </w:r>
            <w:r>
              <w:rPr>
                <w:rFonts w:ascii="Times New Roman" w:eastAsia="Times New Roman" w:hAnsi="Times New Roman" w:cs="Times New Roman"/>
                <w:sz w:val="20"/>
                <w:szCs w:val="20"/>
              </w:rPr>
              <w:t>when one party claims in a trial court that there is no need for a trial because the facts and evidence are one-sided, making it clear which party would win a trial. A judge can order a summary judgment. It is viewed as a final judgment and can be appealed to a higher court.</w:t>
            </w:r>
          </w:p>
          <w:p w14:paraId="50E6EC91" w14:textId="77777777" w:rsidR="000F1BD7" w:rsidRDefault="000F1BD7">
            <w:pPr>
              <w:spacing w:after="200"/>
              <w:ind w:left="360"/>
              <w:rPr>
                <w:rFonts w:ascii="Times New Roman" w:eastAsia="Times New Roman" w:hAnsi="Times New Roman" w:cs="Times New Roman"/>
                <w:b/>
                <w:sz w:val="28"/>
                <w:szCs w:val="28"/>
              </w:rPr>
            </w:pPr>
          </w:p>
        </w:tc>
      </w:tr>
    </w:tbl>
    <w:p w14:paraId="2CD7D946" w14:textId="77777777" w:rsidR="000F1BD7" w:rsidRDefault="000F1BD7">
      <w:pPr>
        <w:spacing w:line="240" w:lineRule="auto"/>
      </w:pPr>
    </w:p>
    <w:sectPr w:rsidR="000F1BD7">
      <w:headerReference w:type="even" r:id="rId10"/>
      <w:headerReference w:type="default" r:id="rId11"/>
      <w:footerReference w:type="even" r:id="rId12"/>
      <w:footerReference w:type="default" r:id="rId13"/>
      <w:headerReference w:type="first" r:id="rId14"/>
      <w:footerReference w:type="first" r:id="rId15"/>
      <w:pgSz w:w="12240" w:h="15840"/>
      <w:pgMar w:top="720" w:right="720" w:bottom="720" w:left="72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A951824" w14:textId="77777777" w:rsidR="009B432C" w:rsidRDefault="009B432C">
      <w:pPr>
        <w:spacing w:line="240" w:lineRule="auto"/>
      </w:pPr>
      <w:r>
        <w:separator/>
      </w:r>
    </w:p>
  </w:endnote>
  <w:endnote w:type="continuationSeparator" w:id="0">
    <w:p w14:paraId="30B25CB3" w14:textId="77777777" w:rsidR="009B432C" w:rsidRDefault="009B432C">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Noto Sans Symbols">
    <w:panose1 w:val="020B0604020202020204"/>
    <w:charset w:val="00"/>
    <w:family w:val="auto"/>
    <w:pitch w:val="default"/>
  </w:font>
  <w:font w:name="Courier New">
    <w:panose1 w:val="02070309020205020404"/>
    <w:charset w:val="00"/>
    <w:family w:val="auto"/>
    <w:pitch w:val="default"/>
  </w:font>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E1B972" w14:textId="77777777" w:rsidR="00AD78E6" w:rsidRDefault="00AD78E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3375D6" w14:textId="77777777" w:rsidR="000F1BD7" w:rsidRDefault="0000000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240" w:lineRule="auto"/>
      <w:jc w:val="right"/>
    </w:pPr>
    <w:r>
      <w:rPr>
        <w:rFonts w:ascii="Times New Roman" w:eastAsia="Times New Roman" w:hAnsi="Times New Roman" w:cs="Times New Roman"/>
        <w:b/>
        <w:noProof/>
        <w:sz w:val="24"/>
        <w:szCs w:val="24"/>
      </w:rPr>
      <w:drawing>
        <wp:inline distT="114300" distB="114300" distL="114300" distR="114300" wp14:anchorId="03F04CF8" wp14:editId="34C57526">
          <wp:extent cx="957263" cy="371032"/>
          <wp:effectExtent l="0" t="0" r="0" b="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957263" cy="371032"/>
                  </a:xfrm>
                  <a:prstGeom prst="rect">
                    <a:avLst/>
                  </a:prstGeom>
                  <a:ln/>
                </pic:spPr>
              </pic:pic>
            </a:graphicData>
          </a:graphic>
        </wp:inline>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8C179F" w14:textId="77777777" w:rsidR="00AD78E6" w:rsidRDefault="00AD78E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7C8727" w14:textId="77777777" w:rsidR="009B432C" w:rsidRDefault="009B432C">
      <w:pPr>
        <w:spacing w:line="240" w:lineRule="auto"/>
      </w:pPr>
      <w:r>
        <w:separator/>
      </w:r>
    </w:p>
  </w:footnote>
  <w:footnote w:type="continuationSeparator" w:id="0">
    <w:p w14:paraId="13AF5EAE" w14:textId="77777777" w:rsidR="009B432C" w:rsidRDefault="009B432C">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A4D837" w14:textId="77777777" w:rsidR="00AD78E6" w:rsidRDefault="00AD78E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4DD22C" w14:textId="77777777" w:rsidR="00AD78E6" w:rsidRDefault="00AD78E6">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2C6A22" w14:textId="77777777" w:rsidR="00AD78E6" w:rsidRDefault="00AD78E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5757E0"/>
    <w:multiLevelType w:val="multilevel"/>
    <w:tmpl w:val="012443E8"/>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 w15:restartNumberingAfterBreak="0">
    <w:nsid w:val="2C295F69"/>
    <w:multiLevelType w:val="multilevel"/>
    <w:tmpl w:val="11568670"/>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2" w15:restartNumberingAfterBreak="0">
    <w:nsid w:val="5339072B"/>
    <w:multiLevelType w:val="multilevel"/>
    <w:tmpl w:val="60B6AE40"/>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num w:numId="1" w16cid:durableId="1723820973">
    <w:abstractNumId w:val="1"/>
  </w:num>
  <w:num w:numId="2" w16cid:durableId="1477062579">
    <w:abstractNumId w:val="0"/>
  </w:num>
  <w:num w:numId="3" w16cid:durableId="719088571">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2"/>
  <w:displayBackgroundShape/>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F1BD7"/>
    <w:rsid w:val="000F1BD7"/>
    <w:rsid w:val="009B432C"/>
    <w:rsid w:val="00AD78E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DA4AA1F"/>
  <w15:docId w15:val="{3CFBF5D5-FEDD-AF47-AB0B-12561D2939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rPr>
      <w:sz w:val="24"/>
      <w:szCs w:val="24"/>
    </w:rPr>
    <w:tblPr>
      <w:tblStyleRowBandSize w:val="1"/>
      <w:tblStyleColBandSize w:val="1"/>
    </w:tblPr>
  </w:style>
  <w:style w:type="paragraph" w:styleId="Header">
    <w:name w:val="header"/>
    <w:basedOn w:val="Normal"/>
    <w:link w:val="HeaderChar"/>
    <w:uiPriority w:val="99"/>
    <w:unhideWhenUsed/>
    <w:rsid w:val="00AD78E6"/>
    <w:pPr>
      <w:tabs>
        <w:tab w:val="center" w:pos="4680"/>
        <w:tab w:val="right" w:pos="9360"/>
      </w:tabs>
      <w:spacing w:line="240" w:lineRule="auto"/>
    </w:pPr>
  </w:style>
  <w:style w:type="character" w:customStyle="1" w:styleId="HeaderChar">
    <w:name w:val="Header Char"/>
    <w:basedOn w:val="DefaultParagraphFont"/>
    <w:link w:val="Header"/>
    <w:uiPriority w:val="99"/>
    <w:rsid w:val="00AD78E6"/>
  </w:style>
  <w:style w:type="paragraph" w:styleId="Footer">
    <w:name w:val="footer"/>
    <w:basedOn w:val="Normal"/>
    <w:link w:val="FooterChar"/>
    <w:uiPriority w:val="99"/>
    <w:unhideWhenUsed/>
    <w:rsid w:val="00AD78E6"/>
    <w:pPr>
      <w:tabs>
        <w:tab w:val="center" w:pos="4680"/>
        <w:tab w:val="right" w:pos="9360"/>
      </w:tabs>
      <w:spacing w:line="240" w:lineRule="auto"/>
    </w:pPr>
  </w:style>
  <w:style w:type="character" w:customStyle="1" w:styleId="FooterChar">
    <w:name w:val="Footer Char"/>
    <w:basedOn w:val="DefaultParagraphFont"/>
    <w:link w:val="Footer"/>
    <w:uiPriority w:val="99"/>
    <w:rsid w:val="00AD78E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oter" Target="footer2.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2.xml"/><Relationship Id="rId5" Type="http://schemas.openxmlformats.org/officeDocument/2006/relationships/footnotes" Target="footnotes.xml"/><Relationship Id="rId15" Type="http://schemas.openxmlformats.org/officeDocument/2006/relationships/footer" Target="footer3.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header" Target="header3.xml"/></Relationships>
</file>

<file path=word/_rels/footer2.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1</Pages>
  <Words>388</Words>
  <Characters>2213</Characters>
  <Application>Microsoft Office Word</Application>
  <DocSecurity>0</DocSecurity>
  <Lines>18</Lines>
  <Paragraphs>5</Paragraphs>
  <ScaleCrop>false</ScaleCrop>
  <Company/>
  <LinksUpToDate>false</LinksUpToDate>
  <CharactersWithSpaces>2596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Alison Cavicchi</cp:lastModifiedBy>
  <cp:revision>2</cp:revision>
  <dcterms:created xsi:type="dcterms:W3CDTF">2023-08-18T21:29:00Z</dcterms:created>
  <dcterms:modified xsi:type="dcterms:W3CDTF">2023-08-18T21:30:00Z</dcterms:modified>
</cp:coreProperties>
</file>