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93"/>
        <w:tblW w:w="0" w:type="auto"/>
        <w:tblLook w:val="04A0" w:firstRow="1" w:lastRow="0" w:firstColumn="1" w:lastColumn="0" w:noHBand="0" w:noVBand="1"/>
      </w:tblPr>
      <w:tblGrid>
        <w:gridCol w:w="2324"/>
        <w:gridCol w:w="7026"/>
      </w:tblGrid>
      <w:tr w:rsidR="00C52BB8" w:rsidRPr="007E3BF3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G.C.3.12.L1</w:t>
            </w:r>
          </w:p>
        </w:tc>
      </w:tr>
      <w:tr w:rsidR="00C757C2" w:rsidRPr="007E3BF3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SS.7.C.3.12 </w:t>
            </w:r>
          </w:p>
        </w:tc>
      </w:tr>
      <w:tr w:rsidR="00C757C2" w:rsidRPr="007E3BF3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L</w:t>
            </w:r>
            <w:r w:rsidR="00560846"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C757C2" w:rsidRPr="007E3BF3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7C2" w:rsidRPr="007E3BF3" w:rsidRDefault="00C757C2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Which principle was the focus of the U.S. Supreme Court decision in </w:t>
            </w:r>
            <w:r w:rsidRPr="007E3BF3">
              <w:rPr>
                <w:rFonts w:ascii="Times New Roman" w:hAnsi="Times New Roman"/>
                <w:i/>
                <w:sz w:val="24"/>
                <w:szCs w:val="24"/>
              </w:rPr>
              <w:t>Miranda v. Arizona</w:t>
            </w:r>
            <w:r w:rsidRPr="007E3BF3">
              <w:rPr>
                <w:rFonts w:ascii="Times New Roman" w:hAnsi="Times New Roman"/>
                <w:sz w:val="24"/>
                <w:szCs w:val="24"/>
              </w:rPr>
              <w:t xml:space="preserve"> (1966)?</w:t>
            </w:r>
          </w:p>
        </w:tc>
      </w:tr>
      <w:tr w:rsidR="00560846" w:rsidRPr="007E3BF3" w:rsidTr="00C0788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freedom of expression</w:t>
            </w:r>
          </w:p>
        </w:tc>
      </w:tr>
      <w:tr w:rsidR="00560846" w:rsidRPr="007E3BF3" w:rsidTr="00DE42E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freedom of speech</w:t>
            </w:r>
          </w:p>
        </w:tc>
      </w:tr>
      <w:tr w:rsidR="00560846" w:rsidRPr="007E3BF3" w:rsidTr="00E9494F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self-incrimination </w:t>
            </w:r>
          </w:p>
        </w:tc>
      </w:tr>
      <w:tr w:rsidR="00560846" w:rsidRPr="007E3BF3" w:rsidTr="003F36C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right to counsel </w:t>
            </w:r>
          </w:p>
        </w:tc>
      </w:tr>
    </w:tbl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93"/>
        <w:tblW w:w="0" w:type="auto"/>
        <w:tblLook w:val="04A0" w:firstRow="1" w:lastRow="0" w:firstColumn="1" w:lastColumn="0" w:noHBand="0" w:noVBand="1"/>
      </w:tblPr>
      <w:tblGrid>
        <w:gridCol w:w="2313"/>
        <w:gridCol w:w="1959"/>
        <w:gridCol w:w="5078"/>
      </w:tblGrid>
      <w:tr w:rsidR="00560846" w:rsidRPr="007E3BF3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G.C.3.12.L1</w:t>
            </w:r>
          </w:p>
        </w:tc>
      </w:tr>
      <w:tr w:rsidR="00560846" w:rsidRPr="007E3BF3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SS.7.C.3.12 </w:t>
            </w:r>
          </w:p>
        </w:tc>
      </w:tr>
      <w:tr w:rsidR="00560846" w:rsidRPr="007E3BF3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ow</w:t>
            </w:r>
          </w:p>
        </w:tc>
      </w:tr>
      <w:tr w:rsidR="00560846" w:rsidRPr="007E3BF3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Which principle was the focus of the U.S. Supreme Court decision in </w:t>
            </w:r>
            <w:r w:rsidRPr="007E3BF3">
              <w:rPr>
                <w:rFonts w:ascii="Times New Roman" w:hAnsi="Times New Roman"/>
                <w:i/>
                <w:sz w:val="24"/>
                <w:szCs w:val="24"/>
              </w:rPr>
              <w:t>Miranda v. Arizona</w:t>
            </w:r>
            <w:r w:rsidRPr="007E3BF3">
              <w:rPr>
                <w:rFonts w:ascii="Times New Roman" w:hAnsi="Times New Roman"/>
                <w:sz w:val="24"/>
                <w:szCs w:val="24"/>
              </w:rPr>
              <w:t xml:space="preserve"> (1966)?</w:t>
            </w:r>
          </w:p>
        </w:tc>
      </w:tr>
      <w:tr w:rsidR="00560846" w:rsidRPr="007E3BF3" w:rsidTr="0019762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freedom of expression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6" w:rsidRPr="007E3BF3" w:rsidRDefault="0019762E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1A34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-The issue central to </w:t>
            </w:r>
            <w:r w:rsidRPr="00DA7844">
              <w:rPr>
                <w:rFonts w:ascii="Times New Roman" w:hAnsi="Times New Roman"/>
                <w:i/>
                <w:sz w:val="24"/>
                <w:szCs w:val="24"/>
              </w:rPr>
              <w:t>Miranda v. Arizona</w:t>
            </w:r>
            <w:r w:rsidR="00D30F07">
              <w:rPr>
                <w:rFonts w:ascii="Times New Roman" w:hAnsi="Times New Roman"/>
                <w:sz w:val="24"/>
                <w:szCs w:val="24"/>
              </w:rPr>
              <w:t xml:space="preserve"> was </w:t>
            </w:r>
            <w:r>
              <w:rPr>
                <w:rFonts w:ascii="Times New Roman" w:hAnsi="Times New Roman"/>
                <w:sz w:val="24"/>
                <w:szCs w:val="24"/>
              </w:rPr>
              <w:t>the defendant’s right to remain silent to prevent self-incrimination</w:t>
            </w:r>
            <w:r w:rsidR="00D30F07">
              <w:rPr>
                <w:rFonts w:ascii="Times New Roman" w:hAnsi="Times New Roman"/>
                <w:sz w:val="24"/>
                <w:szCs w:val="24"/>
              </w:rPr>
              <w:t xml:space="preserve">.  While self-incrimination often involves </w:t>
            </w:r>
            <w:r w:rsidR="00C23551">
              <w:rPr>
                <w:rFonts w:ascii="Times New Roman" w:hAnsi="Times New Roman"/>
                <w:sz w:val="24"/>
                <w:szCs w:val="24"/>
              </w:rPr>
              <w:t>expression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30F07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285D91">
              <w:rPr>
                <w:rFonts w:ascii="Times New Roman" w:hAnsi="Times New Roman"/>
                <w:sz w:val="24"/>
                <w:szCs w:val="24"/>
              </w:rPr>
              <w:t xml:space="preserve">issue central to the </w:t>
            </w:r>
            <w:r w:rsidR="00D30F07">
              <w:rPr>
                <w:rFonts w:ascii="Times New Roman" w:hAnsi="Times New Roman"/>
                <w:sz w:val="24"/>
                <w:szCs w:val="24"/>
              </w:rPr>
              <w:t xml:space="preserve">case </w:t>
            </w:r>
            <w:r>
              <w:rPr>
                <w:rFonts w:ascii="Times New Roman" w:hAnsi="Times New Roman"/>
                <w:sz w:val="24"/>
                <w:szCs w:val="24"/>
              </w:rPr>
              <w:t>was not a freedom of express</w:t>
            </w:r>
            <w:r w:rsidR="00D30F07">
              <w:rPr>
                <w:rFonts w:ascii="Times New Roman" w:hAnsi="Times New Roman"/>
                <w:sz w:val="24"/>
                <w:szCs w:val="24"/>
              </w:rPr>
              <w:t xml:space="preserve">ion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issue.  </w:t>
            </w:r>
          </w:p>
        </w:tc>
      </w:tr>
      <w:tr w:rsidR="00560846" w:rsidRPr="007E3BF3" w:rsidTr="0019762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freedom of speech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6" w:rsidRPr="007E3BF3" w:rsidRDefault="0019762E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1A34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30F07">
              <w:rPr>
                <w:rFonts w:ascii="Times New Roman" w:hAnsi="Times New Roman"/>
                <w:sz w:val="24"/>
                <w:szCs w:val="24"/>
              </w:rPr>
              <w:t xml:space="preserve"> The issue central to </w:t>
            </w:r>
            <w:r w:rsidR="00D30F07" w:rsidRPr="00DA7844">
              <w:rPr>
                <w:rFonts w:ascii="Times New Roman" w:hAnsi="Times New Roman"/>
                <w:i/>
                <w:sz w:val="24"/>
                <w:szCs w:val="24"/>
              </w:rPr>
              <w:t>Miranda v. Arizona</w:t>
            </w:r>
            <w:r w:rsidR="00D30F07">
              <w:rPr>
                <w:rFonts w:ascii="Times New Roman" w:hAnsi="Times New Roman"/>
                <w:sz w:val="24"/>
                <w:szCs w:val="24"/>
              </w:rPr>
              <w:t xml:space="preserve"> was the defendant’s right to remain silent to prevent self-incrimination.  While self-incrimination often involves speech, the </w:t>
            </w:r>
            <w:r w:rsidR="00285D91">
              <w:rPr>
                <w:rFonts w:ascii="Times New Roman" w:hAnsi="Times New Roman"/>
                <w:sz w:val="24"/>
                <w:szCs w:val="24"/>
              </w:rPr>
              <w:t xml:space="preserve">issue central to the </w:t>
            </w:r>
            <w:r w:rsidR="00D30F07">
              <w:rPr>
                <w:rFonts w:ascii="Times New Roman" w:hAnsi="Times New Roman"/>
                <w:sz w:val="24"/>
                <w:szCs w:val="24"/>
              </w:rPr>
              <w:t xml:space="preserve">case </w:t>
            </w:r>
            <w:r w:rsidR="00C23551">
              <w:rPr>
                <w:rFonts w:ascii="Times New Roman" w:hAnsi="Times New Roman"/>
                <w:sz w:val="24"/>
                <w:szCs w:val="24"/>
              </w:rPr>
              <w:t xml:space="preserve">was not a freedom of speech </w:t>
            </w:r>
            <w:r w:rsidR="00D30F07">
              <w:rPr>
                <w:rFonts w:ascii="Times New Roman" w:hAnsi="Times New Roman"/>
                <w:sz w:val="24"/>
                <w:szCs w:val="24"/>
              </w:rPr>
              <w:t xml:space="preserve">issue.  </w:t>
            </w:r>
          </w:p>
        </w:tc>
      </w:tr>
      <w:tr w:rsidR="00560846" w:rsidRPr="007E3BF3" w:rsidTr="0019762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self-incrimination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6" w:rsidRPr="007E3BF3" w:rsidRDefault="0019762E" w:rsidP="00285D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1A34">
              <w:rPr>
                <w:rFonts w:ascii="Times New Roman" w:hAnsi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85D91">
              <w:rPr>
                <w:rFonts w:ascii="Times New Roman" w:hAnsi="Times New Roman"/>
                <w:sz w:val="24"/>
                <w:szCs w:val="24"/>
              </w:rPr>
              <w:t xml:space="preserve"> The issue central to </w:t>
            </w:r>
            <w:r w:rsidR="00285D91" w:rsidRPr="00DA7844">
              <w:rPr>
                <w:rFonts w:ascii="Times New Roman" w:hAnsi="Times New Roman"/>
                <w:i/>
                <w:sz w:val="24"/>
                <w:szCs w:val="24"/>
              </w:rPr>
              <w:t>Miranda v. Arizona</w:t>
            </w:r>
            <w:r w:rsidR="00285D91">
              <w:rPr>
                <w:rFonts w:ascii="Times New Roman" w:hAnsi="Times New Roman"/>
                <w:sz w:val="24"/>
                <w:szCs w:val="24"/>
              </w:rPr>
              <w:t xml:space="preserve"> was the defendant’s right to remain silent to prevent self-incrimination.  </w:t>
            </w:r>
          </w:p>
        </w:tc>
      </w:tr>
      <w:tr w:rsidR="00560846" w:rsidRPr="007E3BF3" w:rsidTr="0019762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846" w:rsidRPr="007E3BF3" w:rsidRDefault="00560846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E3BF3">
              <w:rPr>
                <w:rFonts w:ascii="Times New Roman" w:hAnsi="Times New Roman"/>
                <w:sz w:val="24"/>
                <w:szCs w:val="24"/>
              </w:rPr>
              <w:t xml:space="preserve">right to counsel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46" w:rsidRPr="007E3BF3" w:rsidRDefault="0019762E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1A34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A3A4E">
              <w:rPr>
                <w:rFonts w:ascii="Times New Roman" w:hAnsi="Times New Roman"/>
                <w:sz w:val="24"/>
                <w:szCs w:val="24"/>
              </w:rPr>
              <w:t xml:space="preserve"> The issue central to </w:t>
            </w:r>
            <w:r w:rsidR="009A3A4E" w:rsidRPr="00DA7844">
              <w:rPr>
                <w:rFonts w:ascii="Times New Roman" w:hAnsi="Times New Roman"/>
                <w:i/>
                <w:sz w:val="24"/>
                <w:szCs w:val="24"/>
              </w:rPr>
              <w:t>Miranda v. Arizona</w:t>
            </w:r>
            <w:r w:rsidR="009A3A4E">
              <w:rPr>
                <w:rFonts w:ascii="Times New Roman" w:hAnsi="Times New Roman"/>
                <w:sz w:val="24"/>
                <w:szCs w:val="24"/>
              </w:rPr>
              <w:t xml:space="preserve"> was the defendant’s right to remain silent to prevent self-incrimination.  </w:t>
            </w:r>
            <w:r w:rsidR="00E06D2F">
              <w:rPr>
                <w:rFonts w:ascii="Times New Roman" w:hAnsi="Times New Roman"/>
                <w:sz w:val="24"/>
                <w:szCs w:val="24"/>
              </w:rPr>
              <w:t>The r</w:t>
            </w:r>
            <w:r w:rsidR="009A3A4E">
              <w:rPr>
                <w:rFonts w:ascii="Times New Roman" w:hAnsi="Times New Roman"/>
                <w:sz w:val="24"/>
                <w:szCs w:val="24"/>
              </w:rPr>
              <w:t xml:space="preserve">ight to counsel was </w:t>
            </w:r>
            <w:r w:rsidR="00E06D2F">
              <w:rPr>
                <w:rFonts w:ascii="Times New Roman" w:hAnsi="Times New Roman"/>
                <w:sz w:val="24"/>
                <w:szCs w:val="24"/>
              </w:rPr>
              <w:t xml:space="preserve">related </w:t>
            </w:r>
            <w:r w:rsidR="007B26AC">
              <w:rPr>
                <w:rFonts w:ascii="Times New Roman" w:hAnsi="Times New Roman"/>
                <w:sz w:val="24"/>
                <w:szCs w:val="24"/>
              </w:rPr>
              <w:t xml:space="preserve">to the case outcome </w:t>
            </w:r>
            <w:r w:rsidR="00454F87">
              <w:rPr>
                <w:rFonts w:ascii="Times New Roman" w:hAnsi="Times New Roman"/>
                <w:sz w:val="24"/>
                <w:szCs w:val="24"/>
              </w:rPr>
              <w:t xml:space="preserve">in that the Miranda rights that are now read to those accused of crimes </w:t>
            </w:r>
            <w:r w:rsidR="008A1A34">
              <w:rPr>
                <w:rFonts w:ascii="Times New Roman" w:hAnsi="Times New Roman"/>
                <w:sz w:val="24"/>
                <w:szCs w:val="24"/>
              </w:rPr>
              <w:t xml:space="preserve">include notifying them that they have the right to legal representation.  However, the focus of the Miranda case was the Fifth Amendment protection from self-incrimination.  </w:t>
            </w:r>
          </w:p>
        </w:tc>
      </w:tr>
    </w:tbl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0846" w:rsidRDefault="00560846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7027"/>
      </w:tblGrid>
      <w:tr w:rsidR="00C52BB8" w:rsidTr="004C08A7">
        <w:tc>
          <w:tcPr>
            <w:tcW w:w="2358" w:type="dxa"/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G.C.3.12.M1</w:t>
            </w:r>
          </w:p>
        </w:tc>
      </w:tr>
      <w:tr w:rsidR="00C52BB8" w:rsidTr="004C08A7">
        <w:tc>
          <w:tcPr>
            <w:tcW w:w="235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SS.7.C.3.12</w:t>
            </w:r>
          </w:p>
        </w:tc>
      </w:tr>
      <w:tr w:rsidR="00C52BB8" w:rsidTr="004C08A7">
        <w:tc>
          <w:tcPr>
            <w:tcW w:w="235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A1A34">
              <w:rPr>
                <w:rFonts w:ascii="Times New Roman" w:hAnsi="Times New Roman" w:cs="Times New Roman"/>
                <w:sz w:val="24"/>
                <w:szCs w:val="24"/>
              </w:rPr>
              <w:t>oderate</w:t>
            </w:r>
          </w:p>
        </w:tc>
      </w:tr>
      <w:tr w:rsidR="00C52BB8" w:rsidTr="004C08A7">
        <w:tc>
          <w:tcPr>
            <w:tcW w:w="235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</w:tcPr>
          <w:p w:rsidR="00C52BB8" w:rsidRDefault="00C52BB8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was an outcome of the </w:t>
            </w:r>
            <w:r w:rsidRPr="00163D75">
              <w:rPr>
                <w:rFonts w:ascii="Times New Roman" w:hAnsi="Times New Roman" w:cs="Times New Roman"/>
                <w:sz w:val="24"/>
                <w:szCs w:val="24"/>
              </w:rPr>
              <w:t xml:space="preserve">U.S. Supreme Court decision in </w:t>
            </w:r>
            <w:r w:rsidRPr="00B83A63">
              <w:rPr>
                <w:rFonts w:ascii="Times New Roman" w:hAnsi="Times New Roman" w:cs="Times New Roman"/>
                <w:i/>
                <w:sz w:val="24"/>
                <w:szCs w:val="24"/>
              </w:rPr>
              <w:t>Brown v. Board of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(1954)</w:t>
            </w:r>
            <w:r w:rsidRPr="00163D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90D42" w:rsidTr="003D3950">
        <w:tc>
          <w:tcPr>
            <w:tcW w:w="2358" w:type="dxa"/>
          </w:tcPr>
          <w:p w:rsidR="00790D42" w:rsidRDefault="00790D42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</w:tcPr>
          <w:p w:rsidR="00790D42" w:rsidRDefault="00790D42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Administrators may limit the content of student publications.</w:t>
            </w:r>
          </w:p>
        </w:tc>
      </w:tr>
      <w:tr w:rsidR="00790D42" w:rsidTr="00E61113">
        <w:tc>
          <w:tcPr>
            <w:tcW w:w="2358" w:type="dxa"/>
          </w:tcPr>
          <w:p w:rsidR="00790D42" w:rsidRDefault="00790D42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</w:tcPr>
          <w:p w:rsidR="00790D42" w:rsidRDefault="00790D42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Public school districts that segregate deny equal protection.</w:t>
            </w:r>
          </w:p>
        </w:tc>
      </w:tr>
      <w:tr w:rsidR="00790D42" w:rsidTr="00374355">
        <w:tc>
          <w:tcPr>
            <w:tcW w:w="2358" w:type="dxa"/>
          </w:tcPr>
          <w:p w:rsidR="00790D42" w:rsidRDefault="00790D42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</w:tcPr>
          <w:p w:rsidR="00790D42" w:rsidRDefault="00790D42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Students have a reduced expectation of privacy in school.</w:t>
            </w:r>
          </w:p>
        </w:tc>
      </w:tr>
      <w:tr w:rsidR="00790D42" w:rsidTr="006E2AE3">
        <w:tc>
          <w:tcPr>
            <w:tcW w:w="2358" w:type="dxa"/>
          </w:tcPr>
          <w:p w:rsidR="00790D42" w:rsidRDefault="00790D42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</w:tcPr>
          <w:p w:rsidR="00790D42" w:rsidRDefault="00790D42" w:rsidP="004C08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Criminal defendants have the right to an attorney.</w:t>
            </w:r>
          </w:p>
        </w:tc>
      </w:tr>
    </w:tbl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90D42" w:rsidRDefault="00790D4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310"/>
        <w:gridCol w:w="4727"/>
      </w:tblGrid>
      <w:tr w:rsidR="00790D42" w:rsidTr="00510EB3">
        <w:tc>
          <w:tcPr>
            <w:tcW w:w="2358" w:type="dxa"/>
          </w:tcPr>
          <w:p w:rsidR="00790D42" w:rsidRPr="007E3BF3" w:rsidRDefault="00790D42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</w:tcPr>
          <w:p w:rsidR="00790D42" w:rsidRPr="007E3BF3" w:rsidRDefault="00790D42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G.C.3.12.M1</w:t>
            </w:r>
          </w:p>
        </w:tc>
      </w:tr>
      <w:tr w:rsidR="00790D42" w:rsidTr="00510EB3">
        <w:tc>
          <w:tcPr>
            <w:tcW w:w="2358" w:type="dxa"/>
          </w:tcPr>
          <w:p w:rsidR="00790D42" w:rsidRDefault="00790D42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</w:tcPr>
          <w:p w:rsidR="00790D42" w:rsidRDefault="00790D42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SS.7.C.3.12</w:t>
            </w:r>
          </w:p>
        </w:tc>
      </w:tr>
      <w:tr w:rsidR="00790D42" w:rsidTr="00510EB3">
        <w:tc>
          <w:tcPr>
            <w:tcW w:w="2358" w:type="dxa"/>
          </w:tcPr>
          <w:p w:rsidR="00790D42" w:rsidRDefault="00790D42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</w:tcPr>
          <w:p w:rsidR="00790D42" w:rsidRDefault="00790D42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Moderate</w:t>
            </w:r>
          </w:p>
        </w:tc>
      </w:tr>
      <w:tr w:rsidR="00790D42" w:rsidTr="00510EB3">
        <w:tc>
          <w:tcPr>
            <w:tcW w:w="2358" w:type="dxa"/>
          </w:tcPr>
          <w:p w:rsidR="00790D42" w:rsidRDefault="00790D42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</w:tcPr>
          <w:p w:rsidR="00790D42" w:rsidRDefault="00790D42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was an outcome of the </w:t>
            </w:r>
            <w:r w:rsidRPr="00163D75">
              <w:rPr>
                <w:rFonts w:ascii="Times New Roman" w:hAnsi="Times New Roman" w:cs="Times New Roman"/>
                <w:sz w:val="24"/>
                <w:szCs w:val="24"/>
              </w:rPr>
              <w:t xml:space="preserve">U.S. Supreme Court decision in </w:t>
            </w:r>
            <w:r w:rsidRPr="00B83A63">
              <w:rPr>
                <w:rFonts w:ascii="Times New Roman" w:hAnsi="Times New Roman" w:cs="Times New Roman"/>
                <w:i/>
                <w:sz w:val="24"/>
                <w:szCs w:val="24"/>
              </w:rPr>
              <w:t>Brown v. Board of Education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(1954)</w:t>
            </w:r>
            <w:r w:rsidRPr="00163D7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90D42" w:rsidTr="003D7C0A">
        <w:tc>
          <w:tcPr>
            <w:tcW w:w="2358" w:type="dxa"/>
          </w:tcPr>
          <w:p w:rsidR="00790D42" w:rsidRDefault="00790D42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40" w:type="dxa"/>
          </w:tcPr>
          <w:p w:rsidR="00790D42" w:rsidRDefault="00790D42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Administrators may limit the content of student publications.</w:t>
            </w:r>
          </w:p>
        </w:tc>
        <w:tc>
          <w:tcPr>
            <w:tcW w:w="4878" w:type="dxa"/>
          </w:tcPr>
          <w:p w:rsidR="00790D42" w:rsidRPr="006B31CA" w:rsidRDefault="00726FF8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705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-The </w:t>
            </w:r>
            <w:r w:rsidRPr="00B83A63">
              <w:rPr>
                <w:rFonts w:ascii="Times New Roman" w:hAnsi="Times New Roman" w:cs="Times New Roman"/>
                <w:i/>
                <w:sz w:val="24"/>
                <w:szCs w:val="24"/>
              </w:rPr>
              <w:t>Brown v. Board of Education</w:t>
            </w:r>
            <w:r w:rsidR="006B31CA">
              <w:rPr>
                <w:rFonts w:ascii="Times New Roman" w:hAnsi="Times New Roman" w:cs="Times New Roman"/>
                <w:sz w:val="24"/>
                <w:szCs w:val="24"/>
              </w:rPr>
              <w:t xml:space="preserve"> case focused on school segregation.  Student publications w</w:t>
            </w:r>
            <w:r w:rsidR="00F156AE">
              <w:rPr>
                <w:rFonts w:ascii="Times New Roman" w:hAnsi="Times New Roman" w:cs="Times New Roman"/>
                <w:sz w:val="24"/>
                <w:szCs w:val="24"/>
              </w:rPr>
              <w:t>ere</w:t>
            </w:r>
            <w:r w:rsidR="006B31CA">
              <w:rPr>
                <w:rFonts w:ascii="Times New Roman" w:hAnsi="Times New Roman" w:cs="Times New Roman"/>
                <w:sz w:val="24"/>
                <w:szCs w:val="24"/>
              </w:rPr>
              <w:t xml:space="preserve"> not an issue that related to the case</w:t>
            </w:r>
            <w:r w:rsidR="003D7C0A">
              <w:rPr>
                <w:rFonts w:ascii="Times New Roman" w:hAnsi="Times New Roman" w:cs="Times New Roman"/>
                <w:sz w:val="24"/>
                <w:szCs w:val="24"/>
              </w:rPr>
              <w:t xml:space="preserve"> including whether students may publish what they want in student newspapers</w:t>
            </w:r>
            <w:r w:rsidR="006B31C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90D42" w:rsidTr="003D7C0A">
        <w:tc>
          <w:tcPr>
            <w:tcW w:w="2358" w:type="dxa"/>
          </w:tcPr>
          <w:p w:rsidR="00790D42" w:rsidRDefault="00790D42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340" w:type="dxa"/>
          </w:tcPr>
          <w:p w:rsidR="00790D42" w:rsidRDefault="00790D42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Public school districts that segregate deny equal protection.</w:t>
            </w:r>
          </w:p>
        </w:tc>
        <w:tc>
          <w:tcPr>
            <w:tcW w:w="4878" w:type="dxa"/>
          </w:tcPr>
          <w:p w:rsidR="00790D42" w:rsidRDefault="00726FF8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7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796F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FF796F" w:rsidRPr="00B83A63">
              <w:rPr>
                <w:rFonts w:ascii="Times New Roman" w:hAnsi="Times New Roman" w:cs="Times New Roman"/>
                <w:i/>
                <w:sz w:val="24"/>
                <w:szCs w:val="24"/>
              </w:rPr>
              <w:t>Brown v. Board of Education</w:t>
            </w:r>
            <w:r w:rsidR="00FF796F">
              <w:rPr>
                <w:rFonts w:ascii="Times New Roman" w:hAnsi="Times New Roman" w:cs="Times New Roman"/>
                <w:sz w:val="24"/>
                <w:szCs w:val="24"/>
              </w:rPr>
              <w:t xml:space="preserve"> case focused on school segregation.  The U.S. Supreme Court decided that public schools </w:t>
            </w:r>
            <w:r w:rsidR="00F9417C">
              <w:rPr>
                <w:rFonts w:ascii="Times New Roman" w:hAnsi="Times New Roman" w:cs="Times New Roman"/>
                <w:sz w:val="24"/>
                <w:szCs w:val="24"/>
              </w:rPr>
              <w:t xml:space="preserve">could not segregate students </w:t>
            </w:r>
            <w:r w:rsidR="00FF796F">
              <w:rPr>
                <w:rFonts w:ascii="Times New Roman" w:hAnsi="Times New Roman" w:cs="Times New Roman"/>
                <w:sz w:val="24"/>
                <w:szCs w:val="24"/>
              </w:rPr>
              <w:t>based on race</w:t>
            </w:r>
            <w:r w:rsidR="00F9417C">
              <w:rPr>
                <w:rFonts w:ascii="Times New Roman" w:hAnsi="Times New Roman" w:cs="Times New Roman"/>
                <w:sz w:val="24"/>
                <w:szCs w:val="24"/>
              </w:rPr>
              <w:t>.  The Court decided that segregating students by race violate students’ equal protection guaranteed by the 14</w:t>
            </w:r>
            <w:r w:rsidR="00F9417C" w:rsidRPr="00F941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F9417C">
              <w:rPr>
                <w:rFonts w:ascii="Times New Roman" w:hAnsi="Times New Roman" w:cs="Times New Roman"/>
                <w:sz w:val="24"/>
                <w:szCs w:val="24"/>
              </w:rPr>
              <w:t xml:space="preserve"> Amendment to the U.S. Constitution.    </w:t>
            </w:r>
            <w:r w:rsidR="00FF796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90D42" w:rsidTr="003D7C0A">
        <w:tc>
          <w:tcPr>
            <w:tcW w:w="2358" w:type="dxa"/>
          </w:tcPr>
          <w:p w:rsidR="00790D42" w:rsidRDefault="00790D42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340" w:type="dxa"/>
          </w:tcPr>
          <w:p w:rsidR="00790D42" w:rsidRDefault="00790D42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Students have a reduced expectation of privacy in school.</w:t>
            </w:r>
          </w:p>
        </w:tc>
        <w:tc>
          <w:tcPr>
            <w:tcW w:w="4878" w:type="dxa"/>
          </w:tcPr>
          <w:p w:rsidR="00790D42" w:rsidRDefault="00726FF8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705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417C">
              <w:t xml:space="preserve"> </w:t>
            </w:r>
            <w:r w:rsidR="00F9417C" w:rsidRPr="00F9417C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F9417C" w:rsidRPr="00992059">
              <w:rPr>
                <w:rFonts w:ascii="Times New Roman" w:hAnsi="Times New Roman" w:cs="Times New Roman"/>
                <w:i/>
                <w:sz w:val="24"/>
                <w:szCs w:val="24"/>
              </w:rPr>
              <w:t>Brown v. Board of Education</w:t>
            </w:r>
            <w:r w:rsidR="00F9417C" w:rsidRPr="00F9417C">
              <w:rPr>
                <w:rFonts w:ascii="Times New Roman" w:hAnsi="Times New Roman" w:cs="Times New Roman"/>
                <w:sz w:val="24"/>
                <w:szCs w:val="24"/>
              </w:rPr>
              <w:t xml:space="preserve"> case focused on school segregation.  </w:t>
            </w:r>
            <w:r w:rsidR="006707D1">
              <w:rPr>
                <w:rFonts w:ascii="Times New Roman" w:hAnsi="Times New Roman" w:cs="Times New Roman"/>
                <w:sz w:val="24"/>
                <w:szCs w:val="24"/>
              </w:rPr>
              <w:t xml:space="preserve">Privacy in school was not an issue </w:t>
            </w:r>
            <w:r w:rsidR="00F9417C" w:rsidRPr="00F9417C">
              <w:rPr>
                <w:rFonts w:ascii="Times New Roman" w:hAnsi="Times New Roman" w:cs="Times New Roman"/>
                <w:sz w:val="24"/>
                <w:szCs w:val="24"/>
              </w:rPr>
              <w:t>related to the case</w:t>
            </w:r>
            <w:r w:rsidR="004B1708">
              <w:rPr>
                <w:rFonts w:ascii="Times New Roman" w:hAnsi="Times New Roman" w:cs="Times New Roman"/>
                <w:sz w:val="24"/>
                <w:szCs w:val="24"/>
              </w:rPr>
              <w:t xml:space="preserve"> including whether students can expect privacy when in school</w:t>
            </w:r>
            <w:r w:rsidR="00F9417C" w:rsidRPr="00F9417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790D42" w:rsidTr="003D7C0A">
        <w:tc>
          <w:tcPr>
            <w:tcW w:w="2358" w:type="dxa"/>
          </w:tcPr>
          <w:p w:rsidR="00790D42" w:rsidRDefault="00790D42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340" w:type="dxa"/>
          </w:tcPr>
          <w:p w:rsidR="00790D42" w:rsidRDefault="00790D42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3A63">
              <w:rPr>
                <w:rFonts w:ascii="Times New Roman" w:hAnsi="Times New Roman" w:cs="Times New Roman"/>
                <w:sz w:val="24"/>
                <w:szCs w:val="24"/>
              </w:rPr>
              <w:t>Criminal defendants have the right to an attorney.</w:t>
            </w:r>
          </w:p>
        </w:tc>
        <w:tc>
          <w:tcPr>
            <w:tcW w:w="4878" w:type="dxa"/>
          </w:tcPr>
          <w:p w:rsidR="00790D42" w:rsidRDefault="00726FF8" w:rsidP="00510EB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03705">
              <w:rPr>
                <w:rFonts w:ascii="Times New Roman" w:hAnsi="Times New Roman" w:cs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7D1">
              <w:t xml:space="preserve"> </w:t>
            </w:r>
            <w:r w:rsidR="006707D1" w:rsidRPr="006707D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6707D1" w:rsidRPr="00992059">
              <w:rPr>
                <w:rFonts w:ascii="Times New Roman" w:hAnsi="Times New Roman" w:cs="Times New Roman"/>
                <w:i/>
                <w:sz w:val="24"/>
                <w:szCs w:val="24"/>
              </w:rPr>
              <w:t>Brown v. Board of Education</w:t>
            </w:r>
            <w:r w:rsidR="006707D1" w:rsidRPr="006707D1">
              <w:rPr>
                <w:rFonts w:ascii="Times New Roman" w:hAnsi="Times New Roman" w:cs="Times New Roman"/>
                <w:sz w:val="24"/>
                <w:szCs w:val="24"/>
              </w:rPr>
              <w:t xml:space="preserve"> case focused on school segregation.  </w:t>
            </w:r>
            <w:r w:rsidR="006707D1">
              <w:rPr>
                <w:rFonts w:ascii="Times New Roman" w:hAnsi="Times New Roman" w:cs="Times New Roman"/>
                <w:sz w:val="24"/>
                <w:szCs w:val="24"/>
              </w:rPr>
              <w:t>The case was unrelated to the issue of the rights of criminal defendants including the right of criminal defendants to an attorney.</w:t>
            </w:r>
            <w:r w:rsidR="006707D1" w:rsidRPr="00670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1"/>
        <w:tblW w:w="0" w:type="auto"/>
        <w:tblLook w:val="04A0" w:firstRow="1" w:lastRow="0" w:firstColumn="1" w:lastColumn="0" w:noHBand="0" w:noVBand="1"/>
      </w:tblPr>
      <w:tblGrid>
        <w:gridCol w:w="2324"/>
        <w:gridCol w:w="7026"/>
      </w:tblGrid>
      <w:tr w:rsidR="00C52BB8" w:rsidRPr="00FF05FF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G.C.3.12.M2</w:t>
            </w:r>
          </w:p>
        </w:tc>
      </w:tr>
      <w:tr w:rsidR="00C52BB8" w:rsidRPr="00FF05FF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SS.7.C.3.12</w:t>
            </w:r>
          </w:p>
        </w:tc>
      </w:tr>
      <w:tr w:rsidR="00C52BB8" w:rsidRPr="00FF05FF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M</w:t>
            </w:r>
            <w:r w:rsidR="00F03705">
              <w:rPr>
                <w:rFonts w:ascii="Times New Roman" w:hAnsi="Times New Roman"/>
                <w:sz w:val="24"/>
                <w:szCs w:val="24"/>
              </w:rPr>
              <w:t>oderate</w:t>
            </w:r>
          </w:p>
        </w:tc>
      </w:tr>
      <w:tr w:rsidR="00C52BB8" w:rsidRPr="00FF05FF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States must pay for public defenders as a result of which U.S. Supreme Court case?  </w:t>
            </w:r>
          </w:p>
        </w:tc>
      </w:tr>
      <w:tr w:rsidR="001E67B5" w:rsidRPr="00FF05FF" w:rsidTr="007B4FD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District of Columbia v. Heller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(2008)</w:t>
            </w:r>
          </w:p>
        </w:tc>
      </w:tr>
      <w:tr w:rsidR="001E67B5" w:rsidRPr="00FF05FF" w:rsidTr="0031677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Hazelwood v. Kuhlmeier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(1988)</w:t>
            </w:r>
          </w:p>
        </w:tc>
      </w:tr>
      <w:tr w:rsidR="001E67B5" w:rsidRPr="00FF05FF" w:rsidTr="00EF76D6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 xml:space="preserve">Gideon v. Wainwright 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>(1963)</w:t>
            </w:r>
          </w:p>
        </w:tc>
      </w:tr>
      <w:tr w:rsidR="001E67B5" w:rsidRPr="00FF05FF" w:rsidTr="00FC7B62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Miranda v. Arizona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(1966) </w:t>
            </w:r>
          </w:p>
        </w:tc>
      </w:tr>
    </w:tbl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E67B5" w:rsidRDefault="001E67B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1"/>
        <w:tblW w:w="0" w:type="auto"/>
        <w:tblLook w:val="04A0" w:firstRow="1" w:lastRow="0" w:firstColumn="1" w:lastColumn="0" w:noHBand="0" w:noVBand="1"/>
      </w:tblPr>
      <w:tblGrid>
        <w:gridCol w:w="2314"/>
        <w:gridCol w:w="1953"/>
        <w:gridCol w:w="5083"/>
      </w:tblGrid>
      <w:tr w:rsidR="001E67B5" w:rsidRPr="00FF05FF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7E3BF3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Bank Item Number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7E3BF3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G.C.3.12.M2</w:t>
            </w:r>
          </w:p>
        </w:tc>
      </w:tr>
      <w:tr w:rsidR="001E67B5" w:rsidRPr="00FF05FF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SS.7.C.3.12</w:t>
            </w:r>
          </w:p>
        </w:tc>
      </w:tr>
      <w:tr w:rsidR="001E67B5" w:rsidRPr="00FF05FF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oderate</w:t>
            </w:r>
          </w:p>
        </w:tc>
      </w:tr>
      <w:tr w:rsidR="001E67B5" w:rsidRPr="00FF05FF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States must pay for public defenders as a result of which U.S. Supreme Court case?  </w:t>
            </w:r>
          </w:p>
        </w:tc>
      </w:tr>
      <w:tr w:rsidR="001E67B5" w:rsidRPr="00FF05FF" w:rsidTr="0006472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District of Columbia v. Heller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(2008)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FF05FF" w:rsidRDefault="00436090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72A9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6472E">
              <w:rPr>
                <w:rFonts w:ascii="Times New Roman" w:hAnsi="Times New Roman"/>
                <w:sz w:val="24"/>
                <w:szCs w:val="24"/>
              </w:rPr>
              <w:t xml:space="preserve"> The focus of </w:t>
            </w:r>
            <w:r w:rsidR="0006472E" w:rsidRPr="00992059">
              <w:rPr>
                <w:rFonts w:ascii="Times New Roman" w:hAnsi="Times New Roman"/>
                <w:i/>
                <w:sz w:val="24"/>
                <w:szCs w:val="24"/>
              </w:rPr>
              <w:t>District of Columbia v. Heller</w:t>
            </w:r>
            <w:r w:rsidR="0006472E">
              <w:rPr>
                <w:rFonts w:ascii="Times New Roman" w:hAnsi="Times New Roman"/>
                <w:sz w:val="24"/>
                <w:szCs w:val="24"/>
              </w:rPr>
              <w:t xml:space="preserve"> was the Second Amendment right to bear arms.  </w:t>
            </w:r>
          </w:p>
        </w:tc>
      </w:tr>
      <w:tr w:rsidR="001E67B5" w:rsidRPr="00FF05FF" w:rsidTr="0006472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Hazelwood v. Kuhlmeier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(1988)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FF05FF" w:rsidRDefault="00436090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72A9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5700F">
              <w:rPr>
                <w:rFonts w:ascii="Times New Roman" w:hAnsi="Times New Roman"/>
                <w:sz w:val="24"/>
                <w:szCs w:val="24"/>
              </w:rPr>
              <w:t xml:space="preserve">The focus of </w:t>
            </w:r>
            <w:r w:rsidR="007708F7" w:rsidRPr="00992059">
              <w:rPr>
                <w:rFonts w:ascii="Times New Roman" w:hAnsi="Times New Roman"/>
                <w:i/>
                <w:sz w:val="24"/>
                <w:szCs w:val="24"/>
              </w:rPr>
              <w:t>Hazelwood v. Kuhlmeier</w:t>
            </w:r>
            <w:r w:rsidR="007708F7">
              <w:rPr>
                <w:rFonts w:ascii="Times New Roman" w:hAnsi="Times New Roman"/>
                <w:sz w:val="24"/>
                <w:szCs w:val="24"/>
              </w:rPr>
              <w:t xml:space="preserve"> was the First Amendment freedom of speech.  </w:t>
            </w:r>
            <w:r w:rsidR="007708F7" w:rsidRPr="00992059">
              <w:rPr>
                <w:rFonts w:ascii="Times New Roman" w:hAnsi="Times New Roman"/>
                <w:i/>
                <w:sz w:val="24"/>
                <w:szCs w:val="24"/>
              </w:rPr>
              <w:t>Hazelwood v. Kuhlmeir</w:t>
            </w:r>
            <w:r w:rsidR="007708F7">
              <w:rPr>
                <w:rFonts w:ascii="Times New Roman" w:hAnsi="Times New Roman"/>
                <w:sz w:val="24"/>
                <w:szCs w:val="24"/>
              </w:rPr>
              <w:t xml:space="preserve"> focused on </w:t>
            </w:r>
            <w:r w:rsidR="00AA1C81">
              <w:rPr>
                <w:rFonts w:ascii="Times New Roman" w:hAnsi="Times New Roman"/>
                <w:sz w:val="24"/>
                <w:szCs w:val="24"/>
              </w:rPr>
              <w:t>whether students could publish what they wanted in a student newspaper.  The case was not a freedom of the press issue in that the students could publish the newspaper</w:t>
            </w:r>
            <w:r w:rsidR="0006472E">
              <w:rPr>
                <w:rFonts w:ascii="Times New Roman" w:hAnsi="Times New Roman"/>
                <w:sz w:val="24"/>
                <w:szCs w:val="24"/>
              </w:rPr>
              <w:t>; it was what would be included in that newspaper that was the focus</w:t>
            </w:r>
            <w:r w:rsidR="00AA1C8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="007708F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E67B5" w:rsidRPr="00FF05FF" w:rsidTr="0006472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 xml:space="preserve">Gideon v. Wainwright 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>(1963)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FF05FF" w:rsidRDefault="00436090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72A9">
              <w:rPr>
                <w:rFonts w:ascii="Times New Roman" w:hAnsi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5700F">
              <w:rPr>
                <w:rFonts w:ascii="Times New Roman" w:hAnsi="Times New Roman"/>
                <w:sz w:val="24"/>
                <w:szCs w:val="24"/>
              </w:rPr>
              <w:t xml:space="preserve">The focus of </w:t>
            </w:r>
            <w:r w:rsidR="0005700F" w:rsidRPr="00992059">
              <w:rPr>
                <w:rFonts w:ascii="Times New Roman" w:hAnsi="Times New Roman"/>
                <w:i/>
                <w:sz w:val="24"/>
                <w:szCs w:val="24"/>
              </w:rPr>
              <w:t>Gideon v. Wainwright</w:t>
            </w:r>
            <w:r w:rsidR="0005700F">
              <w:rPr>
                <w:rFonts w:ascii="Times New Roman" w:hAnsi="Times New Roman"/>
                <w:sz w:val="24"/>
                <w:szCs w:val="24"/>
              </w:rPr>
              <w:t xml:space="preserve"> was the Sixth Amendment protection that criminal defendants have the right to counsel which includes that states pay for public defenders if the defendant cannot afford legal representation.  </w:t>
            </w:r>
          </w:p>
        </w:tc>
      </w:tr>
      <w:tr w:rsidR="001E67B5" w:rsidRPr="00FF05FF" w:rsidTr="0006472E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B5" w:rsidRPr="00FF05FF" w:rsidRDefault="001E67B5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Miranda v. Arizona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(1966)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B5" w:rsidRPr="00FF05FF" w:rsidRDefault="00436090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72A9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-The focus of </w:t>
            </w:r>
            <w:r w:rsidRPr="00992059">
              <w:rPr>
                <w:rFonts w:ascii="Times New Roman" w:hAnsi="Times New Roman"/>
                <w:i/>
                <w:sz w:val="24"/>
                <w:szCs w:val="24"/>
              </w:rPr>
              <w:t>Miranda v. Arizona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was Fifth Amendment protection from self-incrimination.  </w:t>
            </w:r>
          </w:p>
        </w:tc>
      </w:tr>
    </w:tbl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A1A34" w:rsidRDefault="008A1A34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9"/>
        <w:tblW w:w="0" w:type="auto"/>
        <w:tblLook w:val="04A0" w:firstRow="1" w:lastRow="0" w:firstColumn="1" w:lastColumn="0" w:noHBand="0" w:noVBand="1"/>
      </w:tblPr>
      <w:tblGrid>
        <w:gridCol w:w="2323"/>
        <w:gridCol w:w="7027"/>
      </w:tblGrid>
      <w:tr w:rsidR="00C52BB8" w:rsidRPr="003D48FA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C52BB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G.C.3.12.M3</w:t>
            </w:r>
          </w:p>
        </w:tc>
      </w:tr>
      <w:tr w:rsidR="00C52BB8" w:rsidRPr="003D48FA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SS.7.C.3.12</w:t>
            </w:r>
          </w:p>
        </w:tc>
      </w:tr>
      <w:tr w:rsidR="00C52BB8" w:rsidRPr="003D48FA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M</w:t>
            </w:r>
            <w:r w:rsidR="000D72A9">
              <w:rPr>
                <w:rFonts w:ascii="Times New Roman" w:hAnsi="Times New Roman"/>
                <w:sz w:val="24"/>
                <w:szCs w:val="24"/>
              </w:rPr>
              <w:t>oderate</w:t>
            </w:r>
          </w:p>
        </w:tc>
      </w:tr>
      <w:tr w:rsidR="00C52BB8" w:rsidRPr="003D48FA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3D48FA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Which U.S. Supreme Court decision addresses the need for public schools to balance student</w:t>
            </w:r>
            <w:r>
              <w:rPr>
                <w:rFonts w:ascii="Times New Roman" w:hAnsi="Times New Roman"/>
                <w:sz w:val="24"/>
                <w:szCs w:val="24"/>
              </w:rPr>
              <w:t>s’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rights with principals’ responsibilities?</w:t>
            </w:r>
          </w:p>
        </w:tc>
      </w:tr>
      <w:tr w:rsidR="00FB0FAF" w:rsidRPr="003D48FA" w:rsidTr="00AA3AE5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Hazelwood  v. Kuhlmeier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(1988) </w:t>
            </w:r>
          </w:p>
        </w:tc>
      </w:tr>
      <w:tr w:rsidR="00FB0FAF" w:rsidRPr="003D48FA" w:rsidTr="0040589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Gideon v. Wainwright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(1963)</w:t>
            </w:r>
          </w:p>
        </w:tc>
      </w:tr>
      <w:tr w:rsidR="00FB0FAF" w:rsidRPr="003D48FA" w:rsidTr="002A133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Plessy v. Ferguson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(1896) </w:t>
            </w:r>
          </w:p>
        </w:tc>
      </w:tr>
      <w:tr w:rsidR="00FB0FAF" w:rsidRPr="003D48FA" w:rsidTr="00E94A71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Bush v. Gore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(2000)</w:t>
            </w:r>
          </w:p>
        </w:tc>
      </w:tr>
    </w:tbl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89"/>
        <w:tblW w:w="0" w:type="auto"/>
        <w:tblLook w:val="04A0" w:firstRow="1" w:lastRow="0" w:firstColumn="1" w:lastColumn="0" w:noHBand="0" w:noVBand="1"/>
      </w:tblPr>
      <w:tblGrid>
        <w:gridCol w:w="2314"/>
        <w:gridCol w:w="2211"/>
        <w:gridCol w:w="4825"/>
      </w:tblGrid>
      <w:tr w:rsidR="00FB0FAF" w:rsidRPr="003D48FA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F" w:rsidRPr="007E3BF3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F" w:rsidRPr="007E3BF3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G.C.3.12.M3</w:t>
            </w:r>
          </w:p>
        </w:tc>
      </w:tr>
      <w:tr w:rsidR="00FB0FAF" w:rsidRPr="003D48FA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SS.7.C.3.12</w:t>
            </w:r>
          </w:p>
        </w:tc>
      </w:tr>
      <w:tr w:rsidR="00FB0FAF" w:rsidRPr="003D48FA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oderate</w:t>
            </w:r>
          </w:p>
        </w:tc>
      </w:tr>
      <w:tr w:rsidR="00FB0FAF" w:rsidRPr="003D48FA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Which U.S. Supreme Court decision addresses the need for public schools to balance student</w:t>
            </w:r>
            <w:r>
              <w:rPr>
                <w:rFonts w:ascii="Times New Roman" w:hAnsi="Times New Roman"/>
                <w:sz w:val="24"/>
                <w:szCs w:val="24"/>
              </w:rPr>
              <w:t>s’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rights with principals’ responsibilities?</w:t>
            </w:r>
          </w:p>
        </w:tc>
      </w:tr>
      <w:tr w:rsidR="00FB0FAF" w:rsidRPr="003D48FA" w:rsidTr="00A4532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Hazelwood  v. Kuhlmeier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(1988)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547">
              <w:rPr>
                <w:rFonts w:ascii="Times New Roman" w:hAnsi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-The focus of </w:t>
            </w:r>
            <w:r w:rsidRPr="009E30F5">
              <w:rPr>
                <w:rFonts w:ascii="Times New Roman" w:hAnsi="Times New Roman"/>
                <w:i/>
                <w:sz w:val="24"/>
                <w:szCs w:val="24"/>
              </w:rPr>
              <w:t>Hazelwood v. Kulhmeier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182A">
              <w:rPr>
                <w:rFonts w:ascii="Times New Roman" w:hAnsi="Times New Roman"/>
                <w:sz w:val="24"/>
                <w:szCs w:val="24"/>
              </w:rPr>
              <w:t xml:space="preserve">was on how to </w:t>
            </w:r>
            <w:r w:rsidR="00A5609D">
              <w:rPr>
                <w:rFonts w:ascii="Times New Roman" w:hAnsi="Times New Roman"/>
                <w:sz w:val="24"/>
                <w:szCs w:val="24"/>
              </w:rPr>
              <w:t xml:space="preserve">balance students’ rights, such as the right to free speech in a school setting, and principals’ responsibilities to </w:t>
            </w:r>
            <w:r w:rsidR="00E1182A">
              <w:rPr>
                <w:rFonts w:ascii="Times New Roman" w:hAnsi="Times New Roman"/>
                <w:sz w:val="24"/>
                <w:szCs w:val="24"/>
              </w:rPr>
              <w:t xml:space="preserve">manage the schools for which they are responsible.  </w:t>
            </w:r>
          </w:p>
        </w:tc>
      </w:tr>
      <w:tr w:rsidR="00FB0FAF" w:rsidRPr="003D48FA" w:rsidTr="00A4532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Gideon v. Wainwright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(1963)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547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D5E46">
              <w:rPr>
                <w:rFonts w:ascii="Times New Roman" w:hAnsi="Times New Roman"/>
                <w:sz w:val="24"/>
                <w:szCs w:val="24"/>
              </w:rPr>
              <w:t xml:space="preserve"> The focus of </w:t>
            </w:r>
            <w:r w:rsidR="005D5E46" w:rsidRPr="009E30F5">
              <w:rPr>
                <w:rFonts w:ascii="Times New Roman" w:hAnsi="Times New Roman"/>
                <w:i/>
                <w:sz w:val="24"/>
                <w:szCs w:val="24"/>
              </w:rPr>
              <w:t>Gideon v. Wainwright</w:t>
            </w:r>
            <w:r w:rsidR="005D5E46">
              <w:rPr>
                <w:rFonts w:ascii="Times New Roman" w:hAnsi="Times New Roman"/>
                <w:sz w:val="24"/>
                <w:szCs w:val="24"/>
              </w:rPr>
              <w:t xml:space="preserve"> was on </w:t>
            </w:r>
            <w:r w:rsidR="000F7EA5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5D5E46">
              <w:rPr>
                <w:rFonts w:ascii="Times New Roman" w:hAnsi="Times New Roman"/>
                <w:sz w:val="24"/>
                <w:szCs w:val="24"/>
              </w:rPr>
              <w:t>Sixth Amendment right to counsel guar</w:t>
            </w:r>
            <w:r w:rsidR="000F7EA5">
              <w:rPr>
                <w:rFonts w:ascii="Times New Roman" w:hAnsi="Times New Roman"/>
                <w:sz w:val="24"/>
                <w:szCs w:val="24"/>
              </w:rPr>
              <w:t xml:space="preserve">anteed to criminal defendants. </w:t>
            </w:r>
          </w:p>
        </w:tc>
      </w:tr>
      <w:tr w:rsidR="00FB0FAF" w:rsidRPr="003D48FA" w:rsidTr="00A4532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Plessy v. Ferguson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(1896)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547">
              <w:rPr>
                <w:rFonts w:ascii="Times New Roman" w:hAnsi="Times New Roman"/>
                <w:b/>
                <w:sz w:val="24"/>
                <w:szCs w:val="24"/>
              </w:rPr>
              <w:t>Incorrect-</w:t>
            </w:r>
            <w:r w:rsidR="000F7EA5">
              <w:rPr>
                <w:rFonts w:ascii="Times New Roman" w:hAnsi="Times New Roman"/>
                <w:sz w:val="24"/>
                <w:szCs w:val="24"/>
              </w:rPr>
              <w:t xml:space="preserve"> The focus of </w:t>
            </w:r>
            <w:r w:rsidR="000F7EA5" w:rsidRPr="009E30F5">
              <w:rPr>
                <w:rFonts w:ascii="Times New Roman" w:hAnsi="Times New Roman"/>
                <w:i/>
                <w:sz w:val="24"/>
                <w:szCs w:val="24"/>
              </w:rPr>
              <w:t>Plessy v. Ferguson</w:t>
            </w:r>
            <w:r w:rsidR="000F7EA5">
              <w:rPr>
                <w:rFonts w:ascii="Times New Roman" w:hAnsi="Times New Roman"/>
                <w:sz w:val="24"/>
                <w:szCs w:val="24"/>
              </w:rPr>
              <w:t xml:space="preserve"> was interpretation of the 14</w:t>
            </w:r>
            <w:r w:rsidR="000F7EA5" w:rsidRPr="000F7EA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0F7EA5">
              <w:rPr>
                <w:rFonts w:ascii="Times New Roman" w:hAnsi="Times New Roman"/>
                <w:sz w:val="24"/>
                <w:szCs w:val="24"/>
              </w:rPr>
              <w:t xml:space="preserve"> Amen</w:t>
            </w:r>
            <w:r w:rsidR="000A71D8">
              <w:rPr>
                <w:rFonts w:ascii="Times New Roman" w:hAnsi="Times New Roman"/>
                <w:sz w:val="24"/>
                <w:szCs w:val="24"/>
              </w:rPr>
              <w:t xml:space="preserve">dment equal protection clause as it applied to public settings segregated based on race.  </w:t>
            </w:r>
          </w:p>
        </w:tc>
      </w:tr>
      <w:tr w:rsidR="00FB0FAF" w:rsidRPr="003D48FA" w:rsidTr="00A45329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8FA">
              <w:rPr>
                <w:rFonts w:ascii="Times New Roman" w:hAnsi="Times New Roman"/>
                <w:i/>
                <w:sz w:val="24"/>
                <w:szCs w:val="24"/>
              </w:rPr>
              <w:t>Bush v. Gore</w:t>
            </w:r>
            <w:r w:rsidRPr="003D48FA">
              <w:rPr>
                <w:rFonts w:ascii="Times New Roman" w:hAnsi="Times New Roman"/>
                <w:sz w:val="24"/>
                <w:szCs w:val="24"/>
              </w:rPr>
              <w:t xml:space="preserve"> (2000)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F" w:rsidRPr="003D48FA" w:rsidRDefault="00FB0FAF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547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A71D8">
              <w:rPr>
                <w:rFonts w:ascii="Times New Roman" w:hAnsi="Times New Roman"/>
                <w:sz w:val="24"/>
                <w:szCs w:val="24"/>
              </w:rPr>
              <w:t xml:space="preserve">The focus of </w:t>
            </w:r>
            <w:r w:rsidR="000A71D8" w:rsidRPr="009E30F5">
              <w:rPr>
                <w:rFonts w:ascii="Times New Roman" w:hAnsi="Times New Roman"/>
                <w:i/>
                <w:sz w:val="24"/>
                <w:szCs w:val="24"/>
              </w:rPr>
              <w:t>Bush v. Gore</w:t>
            </w:r>
            <w:r w:rsidR="000A71D8">
              <w:rPr>
                <w:rFonts w:ascii="Times New Roman" w:hAnsi="Times New Roman"/>
                <w:sz w:val="24"/>
                <w:szCs w:val="24"/>
              </w:rPr>
              <w:t xml:space="preserve"> was inter</w:t>
            </w:r>
            <w:r w:rsidR="009E30F5">
              <w:rPr>
                <w:rFonts w:ascii="Times New Roman" w:hAnsi="Times New Roman"/>
                <w:sz w:val="24"/>
                <w:szCs w:val="24"/>
              </w:rPr>
              <w:t>pretation of the 14</w:t>
            </w:r>
            <w:r w:rsidR="009E30F5" w:rsidRPr="009E30F5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 w:rsidR="009E30F5">
              <w:rPr>
                <w:rFonts w:ascii="Times New Roman" w:hAnsi="Times New Roman"/>
                <w:sz w:val="24"/>
                <w:szCs w:val="24"/>
              </w:rPr>
              <w:t xml:space="preserve"> Amendment equal protection clause as it applied to election procedures such as interpreting a voter’s intent based on how those voters complete their ballot.  </w:t>
            </w:r>
          </w:p>
        </w:tc>
      </w:tr>
    </w:tbl>
    <w:p w:rsidR="000D72A9" w:rsidRDefault="000D72A9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0F5" w:rsidRDefault="009E30F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0F5" w:rsidRDefault="009E30F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0F5" w:rsidRDefault="009E30F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0F5" w:rsidRDefault="009E30F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0F5" w:rsidRDefault="009E30F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0F5" w:rsidRDefault="009E30F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0F5" w:rsidRDefault="009E30F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0F5" w:rsidRDefault="009E30F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0F5" w:rsidRDefault="009E30F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0F5" w:rsidRDefault="009E30F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0F5" w:rsidRDefault="009E30F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E30F5" w:rsidRDefault="009E30F5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FAF" w:rsidRDefault="00FB0FAF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2A9" w:rsidRDefault="000D72A9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0D17" w:rsidRDefault="00160D17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0D17" w:rsidRDefault="00160D17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60D17" w:rsidRDefault="00160D17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2"/>
        <w:tblW w:w="0" w:type="auto"/>
        <w:tblLook w:val="04A0" w:firstRow="1" w:lastRow="0" w:firstColumn="1" w:lastColumn="0" w:noHBand="0" w:noVBand="1"/>
      </w:tblPr>
      <w:tblGrid>
        <w:gridCol w:w="2324"/>
        <w:gridCol w:w="7026"/>
      </w:tblGrid>
      <w:tr w:rsidR="00C52BB8" w:rsidRPr="00FF05FF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B8" w:rsidRPr="007E3BF3" w:rsidRDefault="00C52BB8" w:rsidP="00F41AF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G.C.3.12.H1</w:t>
            </w:r>
          </w:p>
        </w:tc>
      </w:tr>
      <w:tr w:rsidR="00C52BB8" w:rsidRPr="00FF05FF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SS.7.C.3.12</w:t>
            </w:r>
          </w:p>
        </w:tc>
      </w:tr>
      <w:tr w:rsidR="00C52BB8" w:rsidRPr="00FF05FF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H</w:t>
            </w:r>
            <w:r w:rsidR="00160D17">
              <w:rPr>
                <w:rFonts w:ascii="Times New Roman" w:hAnsi="Times New Roman"/>
                <w:sz w:val="24"/>
                <w:szCs w:val="24"/>
              </w:rPr>
              <w:t>igh</w:t>
            </w:r>
          </w:p>
        </w:tc>
      </w:tr>
      <w:tr w:rsidR="00C52BB8" w:rsidRPr="00FF05FF" w:rsidTr="004C08A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B8" w:rsidRPr="00FF05FF" w:rsidRDefault="00C52BB8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Juveniles accused of crimes continue to be afforded many of the same due process rights as adults as a result of which U.S. Supreme Court case?  </w:t>
            </w:r>
          </w:p>
        </w:tc>
      </w:tr>
      <w:tr w:rsidR="00160D17" w:rsidRPr="00FF05FF" w:rsidTr="00F310DC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17" w:rsidRPr="00FF05FF" w:rsidRDefault="00160D17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17" w:rsidRPr="00FF05FF" w:rsidRDefault="00160D17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District of Columbia v. Heller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(2008)</w:t>
            </w:r>
          </w:p>
        </w:tc>
      </w:tr>
      <w:tr w:rsidR="00160D17" w:rsidRPr="00FF05FF" w:rsidTr="00DA7C1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17" w:rsidRPr="00FF05FF" w:rsidRDefault="00160D17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17" w:rsidRPr="00FF05FF" w:rsidRDefault="00160D17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 xml:space="preserve">Hazelwood v. Kuhlmeier 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(1988) </w:t>
            </w:r>
          </w:p>
        </w:tc>
      </w:tr>
      <w:tr w:rsidR="00160D17" w:rsidRPr="00FF05FF" w:rsidTr="00EB5CD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17" w:rsidRPr="00FF05FF" w:rsidRDefault="00160D17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17" w:rsidRPr="00FF05FF" w:rsidRDefault="00160D17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In re Greene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(1930) </w:t>
            </w:r>
          </w:p>
        </w:tc>
      </w:tr>
      <w:tr w:rsidR="00160D17" w:rsidRPr="00FF05FF" w:rsidTr="008458D0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17" w:rsidRPr="00FF05FF" w:rsidRDefault="00160D17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17" w:rsidRPr="00FF05FF" w:rsidRDefault="00160D17" w:rsidP="004C08A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In re Gault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(1967) </w:t>
            </w:r>
          </w:p>
        </w:tc>
      </w:tr>
    </w:tbl>
    <w:p w:rsidR="00C757C2" w:rsidRDefault="00C757C2" w:rsidP="00C757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C6BFA" w:rsidRDefault="003C6BFA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42"/>
        <w:tblW w:w="0" w:type="auto"/>
        <w:tblLook w:val="04A0" w:firstRow="1" w:lastRow="0" w:firstColumn="1" w:lastColumn="0" w:noHBand="0" w:noVBand="1"/>
      </w:tblPr>
      <w:tblGrid>
        <w:gridCol w:w="2315"/>
        <w:gridCol w:w="2210"/>
        <w:gridCol w:w="4825"/>
      </w:tblGrid>
      <w:tr w:rsidR="00160D17" w:rsidRPr="00FF05FF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E3BF3" w:rsidRDefault="00160D17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Bank Item Number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D17" w:rsidRPr="007E3BF3" w:rsidRDefault="00160D17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G.C.3.12.H1</w:t>
            </w:r>
          </w:p>
        </w:tc>
      </w:tr>
      <w:tr w:rsidR="00160D17" w:rsidRPr="00FF05FF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17" w:rsidRPr="00FF05FF" w:rsidRDefault="00160D17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Benchmark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17" w:rsidRPr="00FF05FF" w:rsidRDefault="00160D17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SS.7.C.3.12</w:t>
            </w:r>
          </w:p>
        </w:tc>
      </w:tr>
      <w:tr w:rsidR="00160D17" w:rsidRPr="00FF05FF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17" w:rsidRPr="00FF05FF" w:rsidRDefault="00160D17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Cognitive Complexity 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17" w:rsidRPr="00FF05FF" w:rsidRDefault="00160D17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igh</w:t>
            </w:r>
          </w:p>
        </w:tc>
      </w:tr>
      <w:tr w:rsidR="00160D17" w:rsidRPr="00FF05FF" w:rsidTr="00510EB3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17" w:rsidRPr="00FF05FF" w:rsidRDefault="00160D17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Item</w:t>
            </w:r>
          </w:p>
        </w:tc>
        <w:tc>
          <w:tcPr>
            <w:tcW w:w="7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D17" w:rsidRPr="00FF05FF" w:rsidRDefault="00160D17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 xml:space="preserve">Juveniles accused of crimes continue to be afforded many of the same due process rights as adults as a result of which U.S. Supreme Court case?  </w:t>
            </w:r>
          </w:p>
        </w:tc>
      </w:tr>
      <w:tr w:rsidR="003B2464" w:rsidRPr="00FF05FF" w:rsidTr="006D32E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64" w:rsidRPr="00FF05FF" w:rsidRDefault="003B2464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64" w:rsidRPr="00FF05FF" w:rsidRDefault="003B2464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District of Columbia v. Heller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(2008)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64" w:rsidRPr="00FF05FF" w:rsidRDefault="003B2464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547">
              <w:rPr>
                <w:rFonts w:ascii="Times New Roman" w:hAnsi="Times New Roman"/>
                <w:b/>
                <w:sz w:val="24"/>
                <w:szCs w:val="24"/>
              </w:rPr>
              <w:t>Incorrect-</w:t>
            </w:r>
            <w:r w:rsidR="0090533F" w:rsidRPr="0090533F">
              <w:rPr>
                <w:rFonts w:ascii="Times New Roman" w:hAnsi="Times New Roman"/>
                <w:i/>
                <w:sz w:val="24"/>
                <w:szCs w:val="24"/>
              </w:rPr>
              <w:t>District of Columbia v. Heller</w:t>
            </w:r>
            <w:r w:rsidR="0090533F">
              <w:rPr>
                <w:rFonts w:ascii="Times New Roman" w:hAnsi="Times New Roman"/>
                <w:sz w:val="24"/>
                <w:szCs w:val="24"/>
              </w:rPr>
              <w:t xml:space="preserve"> focused on the right to bear arms as outlined in the Second Amendment to the U.S. Constitution.</w:t>
            </w:r>
          </w:p>
        </w:tc>
      </w:tr>
      <w:tr w:rsidR="003B2464" w:rsidRPr="00FF05FF" w:rsidTr="006D32E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64" w:rsidRPr="00FF05FF" w:rsidRDefault="003B2464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64" w:rsidRPr="00FF05FF" w:rsidRDefault="003B2464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 xml:space="preserve">Hazelwood v. Kuhlmeier 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(1988)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64" w:rsidRPr="00FF05FF" w:rsidRDefault="003B2464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547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0533F" w:rsidRPr="0090533F">
              <w:rPr>
                <w:rFonts w:ascii="Times New Roman" w:hAnsi="Times New Roman"/>
                <w:i/>
                <w:sz w:val="24"/>
                <w:szCs w:val="24"/>
              </w:rPr>
              <w:t>Hazelwood v. Kuhlmeir</w:t>
            </w:r>
            <w:r w:rsidR="0090533F">
              <w:rPr>
                <w:rFonts w:ascii="Times New Roman" w:hAnsi="Times New Roman"/>
                <w:sz w:val="24"/>
                <w:szCs w:val="24"/>
              </w:rPr>
              <w:t xml:space="preserve"> focused on the right of students to speak by publishing articles in their school newspaper.  </w:t>
            </w:r>
          </w:p>
        </w:tc>
      </w:tr>
      <w:tr w:rsidR="003B2464" w:rsidRPr="00FF05FF" w:rsidTr="006D32E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64" w:rsidRPr="00FF05FF" w:rsidRDefault="003B2464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64" w:rsidRPr="00FF05FF" w:rsidRDefault="003B2464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In re Greene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(1930)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64" w:rsidRDefault="003B2464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547">
              <w:rPr>
                <w:rFonts w:ascii="Times New Roman" w:hAnsi="Times New Roman"/>
                <w:b/>
                <w:sz w:val="24"/>
                <w:szCs w:val="24"/>
              </w:rPr>
              <w:t>Incorrect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E3E1A" w:rsidRPr="00AA7D16">
              <w:rPr>
                <w:rFonts w:ascii="Times New Roman" w:hAnsi="Times New Roman"/>
                <w:i/>
                <w:sz w:val="24"/>
                <w:szCs w:val="24"/>
              </w:rPr>
              <w:t>In re Greene</w:t>
            </w:r>
            <w:r w:rsidR="009E3E1A">
              <w:rPr>
                <w:rFonts w:ascii="Times New Roman" w:hAnsi="Times New Roman"/>
                <w:sz w:val="24"/>
                <w:szCs w:val="24"/>
              </w:rPr>
              <w:t xml:space="preserve"> focused on contracts between adults.</w:t>
            </w:r>
          </w:p>
          <w:p w:rsidR="009E3E1A" w:rsidRDefault="009E3E1A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E3E1A" w:rsidRPr="00FF05FF" w:rsidRDefault="009E3E1A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Note:  </w:t>
            </w:r>
            <w:r w:rsidRPr="00315F5D">
              <w:rPr>
                <w:rFonts w:ascii="Times New Roman" w:hAnsi="Times New Roman"/>
                <w:i/>
                <w:sz w:val="24"/>
                <w:szCs w:val="24"/>
              </w:rPr>
              <w:t>In re Greene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not one of the U.S. Supreme Court cases identified by the Florida Department of Education for middle school civics</w:t>
            </w:r>
            <w:r w:rsidR="00A85872">
              <w:rPr>
                <w:rFonts w:ascii="Times New Roman" w:hAnsi="Times New Roman"/>
                <w:sz w:val="24"/>
                <w:szCs w:val="24"/>
              </w:rPr>
              <w:t>, but is provided to ensure parallelism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3B2464" w:rsidRPr="00FF05FF" w:rsidTr="006D32E4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64" w:rsidRPr="00FF05FF" w:rsidRDefault="003B2464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64" w:rsidRPr="00FF05FF" w:rsidRDefault="003B2464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F05FF">
              <w:rPr>
                <w:rFonts w:ascii="Times New Roman" w:hAnsi="Times New Roman"/>
                <w:i/>
                <w:sz w:val="24"/>
                <w:szCs w:val="24"/>
              </w:rPr>
              <w:t>In re Gault</w:t>
            </w:r>
            <w:r w:rsidRPr="00FF05FF">
              <w:rPr>
                <w:rFonts w:ascii="Times New Roman" w:hAnsi="Times New Roman"/>
                <w:sz w:val="24"/>
                <w:szCs w:val="24"/>
              </w:rPr>
              <w:t xml:space="preserve"> (1967) 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64" w:rsidRPr="00FF05FF" w:rsidRDefault="003B2464" w:rsidP="00510EB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547">
              <w:rPr>
                <w:rFonts w:ascii="Times New Roman" w:hAnsi="Times New Roman"/>
                <w:b/>
                <w:i/>
                <w:sz w:val="24"/>
                <w:szCs w:val="24"/>
              </w:rPr>
              <w:t>Correct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-The U.S. Supreme Court determined in </w:t>
            </w:r>
            <w:r w:rsidRPr="00A80506">
              <w:rPr>
                <w:rFonts w:ascii="Times New Roman" w:hAnsi="Times New Roman"/>
                <w:i/>
                <w:sz w:val="24"/>
                <w:szCs w:val="24"/>
              </w:rPr>
              <w:t>In re Gault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that</w:t>
            </w:r>
            <w:r w:rsidR="00BE0901">
              <w:rPr>
                <w:rFonts w:ascii="Times New Roman" w:hAnsi="Times New Roman"/>
                <w:sz w:val="24"/>
                <w:szCs w:val="24"/>
              </w:rPr>
              <w:t xml:space="preserve"> in criminal cases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discriminating based on age </w:t>
            </w:r>
            <w:r w:rsidR="00BE0901">
              <w:rPr>
                <w:rFonts w:ascii="Times New Roman" w:hAnsi="Times New Roman"/>
                <w:sz w:val="24"/>
                <w:szCs w:val="24"/>
              </w:rPr>
              <w:t xml:space="preserve">violate </w:t>
            </w:r>
            <w:r w:rsidR="00A80506">
              <w:rPr>
                <w:rFonts w:ascii="Times New Roman" w:hAnsi="Times New Roman"/>
                <w:sz w:val="24"/>
                <w:szCs w:val="24"/>
              </w:rPr>
              <w:t xml:space="preserve">many due process protections.  For example, denying a juvenile the right to counsel or not administering the juvenile his or her </w:t>
            </w:r>
            <w:r w:rsidR="00A80506" w:rsidRPr="009E3E1A">
              <w:rPr>
                <w:rFonts w:ascii="Times New Roman" w:hAnsi="Times New Roman"/>
                <w:i/>
                <w:sz w:val="24"/>
                <w:szCs w:val="24"/>
              </w:rPr>
              <w:t>Miranda Rights</w:t>
            </w:r>
            <w:r w:rsidR="00A8050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</w:tbl>
    <w:p w:rsidR="00160D17" w:rsidRDefault="00160D17">
      <w:pPr>
        <w:rPr>
          <w:rFonts w:ascii="Times New Roman" w:hAnsi="Times New Roman" w:cs="Times New Roman"/>
          <w:sz w:val="24"/>
          <w:szCs w:val="24"/>
        </w:rPr>
      </w:pPr>
    </w:p>
    <w:p w:rsidR="00160D17" w:rsidRPr="00C757C2" w:rsidRDefault="00160D17">
      <w:pPr>
        <w:rPr>
          <w:rFonts w:ascii="Times New Roman" w:hAnsi="Times New Roman" w:cs="Times New Roman"/>
          <w:sz w:val="24"/>
          <w:szCs w:val="24"/>
        </w:rPr>
      </w:pPr>
    </w:p>
    <w:sectPr w:rsidR="00160D17" w:rsidRPr="00C757C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88F" w:rsidRDefault="00C52BB8">
      <w:pPr>
        <w:spacing w:after="0" w:line="240" w:lineRule="auto"/>
      </w:pPr>
      <w:r>
        <w:separator/>
      </w:r>
    </w:p>
  </w:endnote>
  <w:endnote w:type="continuationSeparator" w:id="0">
    <w:p w:rsidR="0019388F" w:rsidRDefault="00C5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00698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44B8" w:rsidRDefault="00C757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87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744B8" w:rsidRDefault="00A85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88F" w:rsidRDefault="00C52BB8">
      <w:pPr>
        <w:spacing w:after="0" w:line="240" w:lineRule="auto"/>
      </w:pPr>
      <w:r>
        <w:separator/>
      </w:r>
    </w:p>
  </w:footnote>
  <w:footnote w:type="continuationSeparator" w:id="0">
    <w:p w:rsidR="0019388F" w:rsidRDefault="00C52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C2"/>
    <w:rsid w:val="0005700F"/>
    <w:rsid w:val="0006472E"/>
    <w:rsid w:val="000A71D8"/>
    <w:rsid w:val="000D72A9"/>
    <w:rsid w:val="000F7EA5"/>
    <w:rsid w:val="00160D17"/>
    <w:rsid w:val="0019388F"/>
    <w:rsid w:val="0019762E"/>
    <w:rsid w:val="001E67B5"/>
    <w:rsid w:val="00285D91"/>
    <w:rsid w:val="00315F5D"/>
    <w:rsid w:val="003B2464"/>
    <w:rsid w:val="003C6BFA"/>
    <w:rsid w:val="003D7C0A"/>
    <w:rsid w:val="00436090"/>
    <w:rsid w:val="00454F87"/>
    <w:rsid w:val="004B1708"/>
    <w:rsid w:val="00560846"/>
    <w:rsid w:val="005D5E46"/>
    <w:rsid w:val="006707D1"/>
    <w:rsid w:val="006B31CA"/>
    <w:rsid w:val="006D32E4"/>
    <w:rsid w:val="00726FF8"/>
    <w:rsid w:val="007708F7"/>
    <w:rsid w:val="00790D42"/>
    <w:rsid w:val="007B26AC"/>
    <w:rsid w:val="008A1A34"/>
    <w:rsid w:val="0090533F"/>
    <w:rsid w:val="00975E80"/>
    <w:rsid w:val="00992059"/>
    <w:rsid w:val="009A3A4E"/>
    <w:rsid w:val="009E30F5"/>
    <w:rsid w:val="009E3E1A"/>
    <w:rsid w:val="00A45329"/>
    <w:rsid w:val="00A5609D"/>
    <w:rsid w:val="00A80506"/>
    <w:rsid w:val="00A85872"/>
    <w:rsid w:val="00AA1C81"/>
    <w:rsid w:val="00AA7D16"/>
    <w:rsid w:val="00B55B10"/>
    <w:rsid w:val="00BE0901"/>
    <w:rsid w:val="00C23551"/>
    <w:rsid w:val="00C52BB8"/>
    <w:rsid w:val="00C72547"/>
    <w:rsid w:val="00C757C2"/>
    <w:rsid w:val="00D30F07"/>
    <w:rsid w:val="00DA7844"/>
    <w:rsid w:val="00E06D2F"/>
    <w:rsid w:val="00E1182A"/>
    <w:rsid w:val="00F03705"/>
    <w:rsid w:val="00F156AE"/>
    <w:rsid w:val="00F9417C"/>
    <w:rsid w:val="00FB0FAF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7BBE"/>
  <w15:docId w15:val="{BB781794-4DDC-4961-964E-59DB7BF5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75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7C2"/>
  </w:style>
  <w:style w:type="table" w:customStyle="1" w:styleId="TableGrid41">
    <w:name w:val="Table Grid41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9">
    <w:name w:val="Table Grid89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0">
    <w:name w:val="Table Grid90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uiPriority w:val="59"/>
    <w:rsid w:val="00C757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A7D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D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D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D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D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 - College of Sciences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Susan Fine</dc:creator>
  <cp:lastModifiedBy>Stephen Masyada</cp:lastModifiedBy>
  <cp:revision>2</cp:revision>
  <dcterms:created xsi:type="dcterms:W3CDTF">2018-09-17T19:39:00Z</dcterms:created>
  <dcterms:modified xsi:type="dcterms:W3CDTF">2018-09-17T19:39:00Z</dcterms:modified>
</cp:coreProperties>
</file>